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10"/>
      </w:tblGrid>
      <w:tr w:rsidR="00DD4964" w:rsidRPr="00890A9A" w:rsidTr="00D92212">
        <w:trPr>
          <w:trHeight w:val="1361"/>
        </w:trPr>
        <w:tc>
          <w:tcPr>
            <w:tcW w:w="9210" w:type="dxa"/>
            <w:tcBorders>
              <w:top w:val="nil"/>
              <w:left w:val="nil"/>
              <w:bottom w:val="nil"/>
              <w:right w:val="nil"/>
            </w:tcBorders>
          </w:tcPr>
          <w:p w:rsidR="00042621" w:rsidRPr="00890A9A" w:rsidRDefault="00C26535" w:rsidP="00D92212">
            <w:pPr>
              <w:rPr>
                <w:rFonts w:asciiTheme="minorHAnsi" w:hAnsiTheme="minorHAnsi"/>
                <w:sz w:val="22"/>
                <w:lang w:val="en-GB"/>
              </w:rPr>
            </w:pPr>
            <w:r>
              <w:rPr>
                <w:rFonts w:asciiTheme="minorHAnsi" w:hAnsiTheme="minorHAnsi"/>
                <w:sz w:val="22"/>
                <w:lang w:val="en-GB"/>
              </w:rPr>
              <w:t>27</w:t>
            </w:r>
            <w:r w:rsidR="00042621" w:rsidRPr="00890A9A">
              <w:rPr>
                <w:rFonts w:asciiTheme="minorHAnsi" w:hAnsiTheme="minorHAnsi"/>
                <w:sz w:val="22"/>
                <w:lang w:val="en-GB"/>
              </w:rPr>
              <w:t xml:space="preserve"> February 2015</w:t>
            </w:r>
          </w:p>
          <w:p w:rsidR="00042621" w:rsidRPr="00890A9A" w:rsidRDefault="00042621" w:rsidP="00D92212">
            <w:pPr>
              <w:rPr>
                <w:rFonts w:asciiTheme="minorHAnsi" w:hAnsiTheme="minorHAnsi"/>
                <w:sz w:val="22"/>
                <w:lang w:val="en-GB"/>
              </w:rPr>
            </w:pPr>
          </w:p>
          <w:p w:rsidR="00DD4964" w:rsidRPr="00890A9A" w:rsidRDefault="00DD4964" w:rsidP="00D92212">
            <w:pPr>
              <w:rPr>
                <w:rFonts w:asciiTheme="minorHAnsi" w:hAnsiTheme="minorHAnsi"/>
                <w:sz w:val="22"/>
                <w:lang w:val="en-GB"/>
              </w:rPr>
            </w:pPr>
            <w:r w:rsidRPr="00890A9A">
              <w:rPr>
                <w:rFonts w:asciiTheme="minorHAnsi" w:hAnsiTheme="minorHAnsi"/>
                <w:sz w:val="22"/>
                <w:lang w:val="en-GB"/>
              </w:rPr>
              <w:t>World Bank Safeguards Team</w:t>
            </w:r>
          </w:p>
          <w:p w:rsidR="00DD4964" w:rsidRPr="00890A9A" w:rsidRDefault="00DD4964" w:rsidP="00D92212">
            <w:pPr>
              <w:rPr>
                <w:rFonts w:asciiTheme="minorHAnsi" w:hAnsiTheme="minorHAnsi"/>
                <w:sz w:val="22"/>
                <w:lang w:val="en-GB"/>
              </w:rPr>
            </w:pPr>
          </w:p>
        </w:tc>
      </w:tr>
    </w:tbl>
    <w:bookmarkStart w:id="0" w:name="bmYRefLed"/>
    <w:bookmarkStart w:id="1" w:name="bmYRef"/>
    <w:bookmarkEnd w:id="0"/>
    <w:bookmarkEnd w:id="1"/>
    <w:p w:rsidR="00DD4964" w:rsidRPr="00890A9A" w:rsidRDefault="00DF7682" w:rsidP="00B02BE6">
      <w:pPr>
        <w:pStyle w:val="Heading1"/>
        <w:spacing w:before="0"/>
        <w:rPr>
          <w:rFonts w:asciiTheme="minorHAnsi" w:hAnsiTheme="minorHAnsi"/>
          <w:sz w:val="22"/>
          <w:szCs w:val="22"/>
          <w:lang w:val="en-GB"/>
        </w:rPr>
      </w:pPr>
      <w:r w:rsidRPr="00DF7682">
        <w:fldChar w:fldCharType="begin"/>
      </w:r>
      <w:r w:rsidR="00147A73">
        <w:instrText xml:space="preserve"> DOCPROPERTY  DocTitle  \* MERGEFORMAT </w:instrText>
      </w:r>
      <w:r w:rsidRPr="00DF7682">
        <w:fldChar w:fldCharType="separate"/>
      </w:r>
      <w:r w:rsidR="00042621" w:rsidRPr="00890A9A">
        <w:rPr>
          <w:rFonts w:asciiTheme="minorHAnsi" w:hAnsiTheme="minorHAnsi"/>
          <w:sz w:val="22"/>
          <w:szCs w:val="22"/>
          <w:lang w:val="en-GB"/>
        </w:rPr>
        <w:t xml:space="preserve">Written submission </w:t>
      </w:r>
      <w:r w:rsidR="00890A9A">
        <w:rPr>
          <w:rFonts w:asciiTheme="minorHAnsi" w:hAnsiTheme="minorHAnsi"/>
          <w:sz w:val="22"/>
          <w:szCs w:val="22"/>
          <w:lang w:val="en-GB"/>
        </w:rPr>
        <w:t>from t</w:t>
      </w:r>
      <w:r w:rsidR="00042621" w:rsidRPr="00890A9A">
        <w:rPr>
          <w:rFonts w:asciiTheme="minorHAnsi" w:hAnsiTheme="minorHAnsi"/>
          <w:sz w:val="22"/>
          <w:szCs w:val="22"/>
          <w:lang w:val="en-GB"/>
        </w:rPr>
        <w:t>he Australian Disability an</w:t>
      </w:r>
      <w:r w:rsidR="00F3753B" w:rsidRPr="00890A9A">
        <w:rPr>
          <w:rFonts w:asciiTheme="minorHAnsi" w:hAnsiTheme="minorHAnsi"/>
          <w:sz w:val="22"/>
          <w:szCs w:val="22"/>
          <w:lang w:val="en-GB"/>
        </w:rPr>
        <w:t xml:space="preserve">d Development Consortium </w:t>
      </w:r>
      <w:r w:rsidR="00890A9A">
        <w:rPr>
          <w:rFonts w:asciiTheme="minorHAnsi" w:hAnsiTheme="minorHAnsi"/>
          <w:sz w:val="22"/>
          <w:szCs w:val="22"/>
          <w:lang w:val="en-GB"/>
        </w:rPr>
        <w:t xml:space="preserve"> </w:t>
      </w:r>
      <w:r>
        <w:rPr>
          <w:rFonts w:asciiTheme="minorHAnsi" w:hAnsiTheme="minorHAnsi"/>
          <w:sz w:val="22"/>
          <w:szCs w:val="22"/>
          <w:lang w:val="en-GB"/>
        </w:rPr>
        <w:fldChar w:fldCharType="end"/>
      </w:r>
    </w:p>
    <w:p w:rsidR="00D92212" w:rsidRPr="00890A9A" w:rsidRDefault="00042621" w:rsidP="00DD4964">
      <w:pPr>
        <w:rPr>
          <w:rFonts w:asciiTheme="minorHAnsi" w:hAnsiTheme="minorHAnsi"/>
          <w:sz w:val="22"/>
          <w:lang w:val="en-GB"/>
        </w:rPr>
      </w:pPr>
      <w:r w:rsidRPr="00890A9A">
        <w:rPr>
          <w:rFonts w:asciiTheme="minorHAnsi" w:hAnsiTheme="minorHAnsi"/>
          <w:sz w:val="22"/>
          <w:lang w:val="en-GB"/>
        </w:rPr>
        <w:t xml:space="preserve">Thank you for the </w:t>
      </w:r>
      <w:r w:rsidR="00DD4964" w:rsidRPr="00890A9A">
        <w:rPr>
          <w:rFonts w:asciiTheme="minorHAnsi" w:hAnsiTheme="minorHAnsi"/>
          <w:sz w:val="22"/>
          <w:lang w:val="en-GB"/>
        </w:rPr>
        <w:t xml:space="preserve">opportunity to provide </w:t>
      </w:r>
      <w:r w:rsidRPr="00890A9A">
        <w:rPr>
          <w:rFonts w:asciiTheme="minorHAnsi" w:hAnsiTheme="minorHAnsi"/>
          <w:sz w:val="22"/>
          <w:lang w:val="en-GB"/>
        </w:rPr>
        <w:t xml:space="preserve">written </w:t>
      </w:r>
      <w:r w:rsidR="00DD4964" w:rsidRPr="00890A9A">
        <w:rPr>
          <w:rFonts w:asciiTheme="minorHAnsi" w:hAnsiTheme="minorHAnsi"/>
          <w:sz w:val="22"/>
          <w:lang w:val="en-GB"/>
        </w:rPr>
        <w:t xml:space="preserve">feedback into the </w:t>
      </w:r>
      <w:r w:rsidR="0094067C">
        <w:rPr>
          <w:rFonts w:asciiTheme="minorHAnsi" w:hAnsiTheme="minorHAnsi"/>
          <w:sz w:val="22"/>
          <w:lang w:val="en-GB"/>
        </w:rPr>
        <w:t>World Bank S</w:t>
      </w:r>
      <w:r w:rsidR="00DD4964" w:rsidRPr="00890A9A">
        <w:rPr>
          <w:rFonts w:asciiTheme="minorHAnsi" w:hAnsiTheme="minorHAnsi"/>
          <w:sz w:val="22"/>
          <w:lang w:val="en-GB"/>
        </w:rPr>
        <w:t>afeguard</w:t>
      </w:r>
      <w:r w:rsidR="0094067C">
        <w:rPr>
          <w:rFonts w:asciiTheme="minorHAnsi" w:hAnsiTheme="minorHAnsi"/>
          <w:sz w:val="22"/>
          <w:lang w:val="en-GB"/>
        </w:rPr>
        <w:t>s</w:t>
      </w:r>
      <w:r w:rsidR="00DD4964" w:rsidRPr="00890A9A">
        <w:rPr>
          <w:rFonts w:asciiTheme="minorHAnsi" w:hAnsiTheme="minorHAnsi"/>
          <w:sz w:val="22"/>
          <w:lang w:val="en-GB"/>
        </w:rPr>
        <w:t xml:space="preserve"> review process. </w:t>
      </w:r>
    </w:p>
    <w:p w:rsidR="00D92212" w:rsidRPr="00890A9A" w:rsidRDefault="00D92212" w:rsidP="00DD4964">
      <w:pPr>
        <w:rPr>
          <w:rFonts w:asciiTheme="minorHAnsi" w:hAnsiTheme="minorHAnsi"/>
          <w:sz w:val="22"/>
          <w:lang w:val="en-GB"/>
        </w:rPr>
      </w:pPr>
    </w:p>
    <w:p w:rsidR="003114A4" w:rsidRPr="00890A9A" w:rsidRDefault="00D92212" w:rsidP="003114A4">
      <w:pPr>
        <w:rPr>
          <w:rFonts w:asciiTheme="minorHAnsi" w:hAnsiTheme="minorHAnsi"/>
          <w:sz w:val="22"/>
          <w:lang w:val="en-GB"/>
        </w:rPr>
      </w:pPr>
      <w:r w:rsidRPr="00890A9A">
        <w:rPr>
          <w:rFonts w:asciiTheme="minorHAnsi" w:hAnsiTheme="minorHAnsi"/>
          <w:sz w:val="22"/>
          <w:lang w:val="en-GB"/>
        </w:rPr>
        <w:t xml:space="preserve">The Australian Disability and Development Consortium </w:t>
      </w:r>
      <w:r w:rsidR="00F3753B" w:rsidRPr="00890A9A">
        <w:rPr>
          <w:rFonts w:asciiTheme="minorHAnsi" w:hAnsiTheme="minorHAnsi"/>
          <w:sz w:val="22"/>
          <w:lang w:val="en-GB"/>
        </w:rPr>
        <w:t>(ADDC)</w:t>
      </w:r>
      <w:r w:rsidR="00F3753B" w:rsidRPr="00890A9A">
        <w:rPr>
          <w:rFonts w:asciiTheme="minorHAnsi" w:hAnsiTheme="minorHAnsi"/>
          <w:b/>
          <w:sz w:val="22"/>
          <w:lang w:val="en-GB"/>
        </w:rPr>
        <w:t xml:space="preserve"> </w:t>
      </w:r>
      <w:r w:rsidR="00F3753B" w:rsidRPr="00890A9A">
        <w:rPr>
          <w:rStyle w:val="Strong"/>
          <w:rFonts w:asciiTheme="minorHAnsi" w:hAnsiTheme="minorHAnsi" w:cs="Arial"/>
          <w:b w:val="0"/>
          <w:sz w:val="22"/>
        </w:rPr>
        <w:t xml:space="preserve">is an Australian based, international network focusing attention, expertise and action on disability issues in developing countries; building on a human rights platform for disability advocacy.  With </w:t>
      </w:r>
      <w:r w:rsidRPr="00890A9A">
        <w:rPr>
          <w:rFonts w:asciiTheme="minorHAnsi" w:hAnsiTheme="minorHAnsi"/>
          <w:sz w:val="22"/>
          <w:lang w:val="en-GB"/>
        </w:rPr>
        <w:t xml:space="preserve">over 500 members </w:t>
      </w:r>
      <w:r w:rsidR="00F3753B" w:rsidRPr="00890A9A">
        <w:rPr>
          <w:rFonts w:asciiTheme="minorHAnsi" w:hAnsiTheme="minorHAnsi"/>
          <w:sz w:val="22"/>
          <w:lang w:val="en-GB"/>
        </w:rPr>
        <w:t xml:space="preserve">ADDC is </w:t>
      </w:r>
      <w:r w:rsidRPr="00890A9A">
        <w:rPr>
          <w:rFonts w:asciiTheme="minorHAnsi" w:hAnsiTheme="minorHAnsi"/>
          <w:sz w:val="22"/>
          <w:lang w:val="en-GB"/>
        </w:rPr>
        <w:t>focussed on ensuring that people with disability can participate in and benefit from international aid and development effo</w:t>
      </w:r>
      <w:r w:rsidR="00F3753B" w:rsidRPr="00890A9A">
        <w:rPr>
          <w:rFonts w:asciiTheme="minorHAnsi" w:hAnsiTheme="minorHAnsi"/>
          <w:sz w:val="22"/>
          <w:lang w:val="en-GB"/>
        </w:rPr>
        <w:t>rts to build an inclusive society.</w:t>
      </w:r>
    </w:p>
    <w:p w:rsidR="003114A4" w:rsidRPr="00890A9A" w:rsidRDefault="003114A4" w:rsidP="003114A4">
      <w:pPr>
        <w:rPr>
          <w:rFonts w:asciiTheme="minorHAnsi" w:hAnsiTheme="minorHAnsi"/>
          <w:sz w:val="22"/>
          <w:lang w:val="en-GB"/>
        </w:rPr>
      </w:pPr>
    </w:p>
    <w:p w:rsidR="00C04091" w:rsidRPr="00890A9A" w:rsidRDefault="00B931CF" w:rsidP="003114A4">
      <w:pPr>
        <w:rPr>
          <w:rFonts w:asciiTheme="minorHAnsi" w:hAnsiTheme="minorHAnsi"/>
          <w:sz w:val="22"/>
          <w:lang w:val="en-GB"/>
        </w:rPr>
      </w:pPr>
      <w:r w:rsidRPr="00890A9A">
        <w:rPr>
          <w:rFonts w:asciiTheme="minorHAnsi" w:hAnsiTheme="minorHAnsi"/>
          <w:sz w:val="22"/>
          <w:lang w:val="en-GB"/>
        </w:rPr>
        <w:t>ADDC’s submission</w:t>
      </w:r>
      <w:r w:rsidR="00D92212" w:rsidRPr="00890A9A">
        <w:rPr>
          <w:rFonts w:asciiTheme="minorHAnsi" w:hAnsiTheme="minorHAnsi"/>
          <w:sz w:val="22"/>
          <w:lang w:val="en-GB"/>
        </w:rPr>
        <w:t xml:space="preserve"> </w:t>
      </w:r>
      <w:r w:rsidR="00042621" w:rsidRPr="00890A9A">
        <w:rPr>
          <w:rFonts w:asciiTheme="minorHAnsi" w:hAnsiTheme="minorHAnsi"/>
          <w:sz w:val="22"/>
          <w:lang w:val="en-GB"/>
        </w:rPr>
        <w:t xml:space="preserve">supports the feedback provided at the Melbourne consultation session held on </w:t>
      </w:r>
      <w:r w:rsidR="00C740AB">
        <w:rPr>
          <w:rFonts w:asciiTheme="minorHAnsi" w:hAnsiTheme="minorHAnsi"/>
          <w:sz w:val="22"/>
          <w:lang w:val="en-GB"/>
        </w:rPr>
        <w:t>4</w:t>
      </w:r>
      <w:r w:rsidR="00042621" w:rsidRPr="00890A9A">
        <w:rPr>
          <w:rFonts w:asciiTheme="minorHAnsi" w:hAnsiTheme="minorHAnsi"/>
          <w:sz w:val="22"/>
          <w:lang w:val="en-GB"/>
        </w:rPr>
        <w:t xml:space="preserve"> February 2015</w:t>
      </w:r>
      <w:r w:rsidR="00C04091" w:rsidRPr="00890A9A">
        <w:rPr>
          <w:rFonts w:asciiTheme="minorHAnsi" w:hAnsiTheme="minorHAnsi"/>
          <w:sz w:val="22"/>
          <w:lang w:val="en-GB"/>
        </w:rPr>
        <w:t xml:space="preserve">.  </w:t>
      </w:r>
      <w:r w:rsidR="00C04091" w:rsidRPr="00890A9A">
        <w:rPr>
          <w:rFonts w:asciiTheme="minorHAnsi" w:hAnsiTheme="minorHAnsi"/>
          <w:sz w:val="22"/>
        </w:rPr>
        <w:t xml:space="preserve">We commend the efforts of the World Bank </w:t>
      </w:r>
      <w:r w:rsidR="00A62415" w:rsidRPr="00890A9A">
        <w:rPr>
          <w:rFonts w:asciiTheme="minorHAnsi" w:hAnsiTheme="minorHAnsi"/>
          <w:sz w:val="22"/>
        </w:rPr>
        <w:t>in</w:t>
      </w:r>
      <w:r w:rsidR="00C04091" w:rsidRPr="00890A9A">
        <w:rPr>
          <w:rFonts w:asciiTheme="minorHAnsi" w:hAnsiTheme="minorHAnsi"/>
          <w:sz w:val="22"/>
        </w:rPr>
        <w:t xml:space="preserve"> ensur</w:t>
      </w:r>
      <w:r w:rsidR="00A62415" w:rsidRPr="00890A9A">
        <w:rPr>
          <w:rFonts w:asciiTheme="minorHAnsi" w:hAnsiTheme="minorHAnsi"/>
          <w:sz w:val="22"/>
        </w:rPr>
        <w:t>ing</w:t>
      </w:r>
      <w:r w:rsidR="00C04091" w:rsidRPr="00890A9A">
        <w:rPr>
          <w:rFonts w:asciiTheme="minorHAnsi" w:hAnsiTheme="minorHAnsi"/>
          <w:sz w:val="22"/>
        </w:rPr>
        <w:t xml:space="preserve"> the consultations are as inclusive as possible, noting the strong presence of disability stakeholders, in</w:t>
      </w:r>
      <w:r w:rsidR="0094067C">
        <w:rPr>
          <w:rFonts w:asciiTheme="minorHAnsi" w:hAnsiTheme="minorHAnsi"/>
          <w:sz w:val="22"/>
        </w:rPr>
        <w:t>cluding people with disability</w:t>
      </w:r>
      <w:r w:rsidR="00C04091" w:rsidRPr="00890A9A">
        <w:rPr>
          <w:rFonts w:asciiTheme="minorHAnsi" w:hAnsiTheme="minorHAnsi"/>
          <w:sz w:val="22"/>
        </w:rPr>
        <w:t xml:space="preserve"> </w:t>
      </w:r>
      <w:r w:rsidR="00A62415" w:rsidRPr="00890A9A">
        <w:rPr>
          <w:rFonts w:asciiTheme="minorHAnsi" w:hAnsiTheme="minorHAnsi"/>
          <w:sz w:val="22"/>
        </w:rPr>
        <w:t>at the Melbourne session</w:t>
      </w:r>
      <w:r w:rsidR="00042621" w:rsidRPr="00890A9A">
        <w:rPr>
          <w:rFonts w:asciiTheme="minorHAnsi" w:hAnsiTheme="minorHAnsi"/>
          <w:sz w:val="22"/>
          <w:lang w:val="en-GB"/>
        </w:rPr>
        <w:t>.</w:t>
      </w:r>
      <w:r w:rsidR="00D92212" w:rsidRPr="00890A9A">
        <w:rPr>
          <w:rFonts w:asciiTheme="minorHAnsi" w:hAnsiTheme="minorHAnsi"/>
          <w:sz w:val="22"/>
          <w:lang w:val="en-GB"/>
        </w:rPr>
        <w:t xml:space="preserve">  </w:t>
      </w:r>
    </w:p>
    <w:p w:rsidR="00C04091" w:rsidRPr="00890A9A" w:rsidRDefault="00C04091" w:rsidP="003114A4">
      <w:pPr>
        <w:rPr>
          <w:rFonts w:asciiTheme="minorHAnsi" w:hAnsiTheme="minorHAnsi"/>
          <w:sz w:val="22"/>
          <w:lang w:val="en-GB"/>
        </w:rPr>
      </w:pPr>
    </w:p>
    <w:p w:rsidR="003114A4" w:rsidRPr="00890A9A" w:rsidRDefault="00042B94" w:rsidP="003114A4">
      <w:pPr>
        <w:rPr>
          <w:rFonts w:asciiTheme="minorHAnsi" w:hAnsiTheme="minorHAnsi"/>
          <w:sz w:val="22"/>
          <w:lang w:val="en-US"/>
        </w:rPr>
      </w:pPr>
      <w:r>
        <w:rPr>
          <w:rFonts w:asciiTheme="minorHAnsi" w:hAnsiTheme="minorHAnsi"/>
          <w:sz w:val="22"/>
          <w:lang w:val="en-GB"/>
        </w:rPr>
        <w:t>This submission</w:t>
      </w:r>
      <w:r w:rsidR="00D92212" w:rsidRPr="00890A9A">
        <w:rPr>
          <w:rFonts w:asciiTheme="minorHAnsi" w:hAnsiTheme="minorHAnsi"/>
          <w:sz w:val="22"/>
          <w:lang w:val="en-GB"/>
        </w:rPr>
        <w:t xml:space="preserve"> also supports the </w:t>
      </w:r>
      <w:r w:rsidR="00042621" w:rsidRPr="00890A9A">
        <w:rPr>
          <w:rFonts w:asciiTheme="minorHAnsi" w:hAnsiTheme="minorHAnsi"/>
          <w:sz w:val="22"/>
          <w:lang w:val="en-US"/>
        </w:rPr>
        <w:t>Bank I</w:t>
      </w:r>
      <w:r w:rsidR="003114A4" w:rsidRPr="00890A9A">
        <w:rPr>
          <w:rFonts w:asciiTheme="minorHAnsi" w:hAnsiTheme="minorHAnsi"/>
          <w:sz w:val="22"/>
          <w:lang w:val="en-US"/>
        </w:rPr>
        <w:t>nformation Center</w:t>
      </w:r>
      <w:r w:rsidR="00042621" w:rsidRPr="00890A9A">
        <w:rPr>
          <w:rFonts w:asciiTheme="minorHAnsi" w:hAnsiTheme="minorHAnsi"/>
          <w:sz w:val="22"/>
          <w:lang w:val="en-US"/>
        </w:rPr>
        <w:t xml:space="preserve"> World Bank Safeguards Campaign</w:t>
      </w:r>
      <w:r w:rsidR="003114A4" w:rsidRPr="00890A9A">
        <w:rPr>
          <w:rFonts w:asciiTheme="minorHAnsi" w:hAnsiTheme="minorHAnsi"/>
          <w:sz w:val="22"/>
          <w:lang w:val="en-US"/>
        </w:rPr>
        <w:t xml:space="preserve"> on Disability</w:t>
      </w:r>
      <w:r w:rsidR="00C04091" w:rsidRPr="00890A9A">
        <w:rPr>
          <w:rFonts w:asciiTheme="minorHAnsi" w:hAnsiTheme="minorHAnsi"/>
          <w:sz w:val="22"/>
          <w:lang w:val="en-US"/>
        </w:rPr>
        <w:t xml:space="preserve"> and </w:t>
      </w:r>
      <w:r w:rsidR="00042621" w:rsidRPr="00890A9A">
        <w:rPr>
          <w:rFonts w:asciiTheme="minorHAnsi" w:hAnsiTheme="minorHAnsi"/>
          <w:sz w:val="22"/>
          <w:lang w:val="en-US"/>
        </w:rPr>
        <w:t xml:space="preserve">the </w:t>
      </w:r>
      <w:r w:rsidR="003114A4" w:rsidRPr="00890A9A">
        <w:rPr>
          <w:rFonts w:asciiTheme="minorHAnsi" w:hAnsiTheme="minorHAnsi"/>
          <w:sz w:val="22"/>
          <w:lang w:val="en-US"/>
        </w:rPr>
        <w:t xml:space="preserve">red-lined draft of </w:t>
      </w:r>
      <w:r w:rsidRPr="00890A9A">
        <w:rPr>
          <w:rFonts w:asciiTheme="minorHAnsi" w:hAnsiTheme="minorHAnsi"/>
          <w:sz w:val="22"/>
        </w:rPr>
        <w:t>Env</w:t>
      </w:r>
      <w:r>
        <w:rPr>
          <w:rFonts w:asciiTheme="minorHAnsi" w:hAnsiTheme="minorHAnsi"/>
          <w:sz w:val="22"/>
        </w:rPr>
        <w:t>ironmental and Social Standards</w:t>
      </w:r>
      <w:r w:rsidRPr="00890A9A">
        <w:rPr>
          <w:rFonts w:asciiTheme="minorHAnsi" w:hAnsiTheme="minorHAnsi"/>
          <w:sz w:val="22"/>
        </w:rPr>
        <w:t xml:space="preserve"> </w:t>
      </w:r>
      <w:r>
        <w:rPr>
          <w:rFonts w:asciiTheme="minorHAnsi" w:hAnsiTheme="minorHAnsi"/>
          <w:sz w:val="22"/>
        </w:rPr>
        <w:t>(</w:t>
      </w:r>
      <w:r w:rsidR="003114A4" w:rsidRPr="00890A9A">
        <w:rPr>
          <w:rFonts w:asciiTheme="minorHAnsi" w:hAnsiTheme="minorHAnsi"/>
          <w:sz w:val="22"/>
          <w:lang w:val="en-US"/>
        </w:rPr>
        <w:t>ESS</w:t>
      </w:r>
      <w:r>
        <w:rPr>
          <w:rFonts w:asciiTheme="minorHAnsi" w:hAnsiTheme="minorHAnsi"/>
          <w:sz w:val="22"/>
          <w:lang w:val="en-US"/>
        </w:rPr>
        <w:t>)</w:t>
      </w:r>
      <w:r w:rsidR="003114A4" w:rsidRPr="00890A9A">
        <w:rPr>
          <w:rFonts w:asciiTheme="minorHAnsi" w:hAnsiTheme="minorHAnsi"/>
          <w:sz w:val="22"/>
          <w:lang w:val="en-US"/>
        </w:rPr>
        <w:t xml:space="preserve"> 1 and 10, which makes practical suggestions of how and where disability inclusion and accessibility can be included in the document.</w:t>
      </w:r>
      <w:r w:rsidR="00C740AB">
        <w:rPr>
          <w:rFonts w:asciiTheme="minorHAnsi" w:hAnsiTheme="minorHAnsi"/>
          <w:sz w:val="22"/>
          <w:lang w:val="en-US"/>
        </w:rPr>
        <w:t xml:space="preserve"> </w:t>
      </w:r>
      <w:r w:rsidR="003114A4" w:rsidRPr="00890A9A">
        <w:rPr>
          <w:rFonts w:asciiTheme="minorHAnsi" w:hAnsiTheme="minorHAnsi"/>
          <w:sz w:val="22"/>
          <w:lang w:val="en-US"/>
        </w:rPr>
        <w:t xml:space="preserve"> It also includes a suggestion for a Universal Accessibility and Inclusion Plan as an annex to ESS1. </w:t>
      </w:r>
    </w:p>
    <w:p w:rsidR="00042621" w:rsidRPr="00890A9A" w:rsidRDefault="00042621" w:rsidP="00DD4964">
      <w:pPr>
        <w:rPr>
          <w:rFonts w:asciiTheme="minorHAnsi" w:hAnsiTheme="minorHAnsi"/>
          <w:sz w:val="22"/>
          <w:lang w:val="en-US"/>
        </w:rPr>
      </w:pPr>
    </w:p>
    <w:p w:rsidR="00B931CF" w:rsidRPr="00890A9A" w:rsidRDefault="00D92212" w:rsidP="003114A4">
      <w:pPr>
        <w:rPr>
          <w:rFonts w:asciiTheme="minorHAnsi" w:hAnsiTheme="minorHAnsi"/>
          <w:sz w:val="22"/>
        </w:rPr>
      </w:pPr>
      <w:r w:rsidRPr="00890A9A">
        <w:rPr>
          <w:rFonts w:asciiTheme="minorHAnsi" w:hAnsiTheme="minorHAnsi"/>
          <w:sz w:val="22"/>
          <w:lang w:val="en-US"/>
        </w:rPr>
        <w:t xml:space="preserve">It was very pleasing in the </w:t>
      </w:r>
      <w:r w:rsidR="00890A9A">
        <w:rPr>
          <w:rFonts w:asciiTheme="minorHAnsi" w:hAnsiTheme="minorHAnsi"/>
          <w:sz w:val="22"/>
          <w:lang w:val="en-US"/>
        </w:rPr>
        <w:t xml:space="preserve">Melbourne </w:t>
      </w:r>
      <w:r w:rsidRPr="00890A9A">
        <w:rPr>
          <w:rFonts w:asciiTheme="minorHAnsi" w:hAnsiTheme="minorHAnsi"/>
          <w:sz w:val="22"/>
          <w:lang w:val="en-US"/>
        </w:rPr>
        <w:t xml:space="preserve">consultation session to hear that </w:t>
      </w:r>
      <w:r w:rsidR="00A62415" w:rsidRPr="00890A9A">
        <w:rPr>
          <w:rFonts w:asciiTheme="minorHAnsi" w:hAnsiTheme="minorHAnsi"/>
          <w:sz w:val="22"/>
          <w:lang w:val="en-US"/>
        </w:rPr>
        <w:t xml:space="preserve">the conversation around the inclusion of people with disability in the </w:t>
      </w:r>
      <w:r w:rsidR="00890A9A">
        <w:rPr>
          <w:rFonts w:asciiTheme="minorHAnsi" w:hAnsiTheme="minorHAnsi"/>
          <w:sz w:val="22"/>
          <w:lang w:val="en-US"/>
        </w:rPr>
        <w:t>World Bank S</w:t>
      </w:r>
      <w:r w:rsidR="00A62415" w:rsidRPr="00890A9A">
        <w:rPr>
          <w:rFonts w:asciiTheme="minorHAnsi" w:hAnsiTheme="minorHAnsi"/>
          <w:sz w:val="22"/>
          <w:lang w:val="en-US"/>
        </w:rPr>
        <w:t xml:space="preserve">afeguards </w:t>
      </w:r>
      <w:r w:rsidR="00890A9A">
        <w:rPr>
          <w:rFonts w:asciiTheme="minorHAnsi" w:hAnsiTheme="minorHAnsi"/>
          <w:sz w:val="22"/>
          <w:lang w:val="en-US"/>
        </w:rPr>
        <w:t xml:space="preserve">review </w:t>
      </w:r>
      <w:r w:rsidR="00A62415" w:rsidRPr="00890A9A">
        <w:rPr>
          <w:rFonts w:asciiTheme="minorHAnsi" w:hAnsiTheme="minorHAnsi"/>
          <w:sz w:val="22"/>
          <w:lang w:val="en-US"/>
        </w:rPr>
        <w:t xml:space="preserve">has moved from </w:t>
      </w:r>
      <w:r w:rsidRPr="00890A9A">
        <w:rPr>
          <w:rFonts w:asciiTheme="minorHAnsi" w:hAnsiTheme="minorHAnsi"/>
          <w:sz w:val="22"/>
          <w:lang w:val="en-US"/>
        </w:rPr>
        <w:t xml:space="preserve">a question of </w:t>
      </w:r>
      <w:r w:rsidRPr="00890A9A">
        <w:rPr>
          <w:rFonts w:asciiTheme="minorHAnsi" w:hAnsiTheme="minorHAnsi"/>
          <w:i/>
          <w:sz w:val="22"/>
          <w:lang w:val="en-US"/>
        </w:rPr>
        <w:t>should</w:t>
      </w:r>
      <w:r w:rsidRPr="00890A9A">
        <w:rPr>
          <w:rFonts w:asciiTheme="minorHAnsi" w:hAnsiTheme="minorHAnsi"/>
          <w:sz w:val="22"/>
          <w:lang w:val="en-US"/>
        </w:rPr>
        <w:t xml:space="preserve"> disability be included </w:t>
      </w:r>
      <w:r w:rsidR="00A62415" w:rsidRPr="00890A9A">
        <w:rPr>
          <w:rFonts w:asciiTheme="minorHAnsi" w:hAnsiTheme="minorHAnsi"/>
          <w:sz w:val="22"/>
          <w:lang w:val="en-US"/>
        </w:rPr>
        <w:t xml:space="preserve">to </w:t>
      </w:r>
      <w:r w:rsidR="00A62415" w:rsidRPr="00890A9A">
        <w:rPr>
          <w:rFonts w:asciiTheme="minorHAnsi" w:hAnsiTheme="minorHAnsi"/>
          <w:i/>
          <w:sz w:val="22"/>
          <w:lang w:val="en-US"/>
        </w:rPr>
        <w:t>ho</w:t>
      </w:r>
      <w:r w:rsidRPr="00890A9A">
        <w:rPr>
          <w:rFonts w:asciiTheme="minorHAnsi" w:hAnsiTheme="minorHAnsi"/>
          <w:i/>
          <w:sz w:val="22"/>
          <w:lang w:val="en-US"/>
        </w:rPr>
        <w:t>w</w:t>
      </w:r>
      <w:r w:rsidRPr="00890A9A">
        <w:rPr>
          <w:rFonts w:asciiTheme="minorHAnsi" w:hAnsiTheme="minorHAnsi"/>
          <w:sz w:val="22"/>
          <w:lang w:val="en-US"/>
        </w:rPr>
        <w:t xml:space="preserve"> this could be best achieved.  </w:t>
      </w:r>
      <w:r w:rsidR="003114A4" w:rsidRPr="00890A9A">
        <w:rPr>
          <w:rFonts w:asciiTheme="minorHAnsi" w:hAnsiTheme="minorHAnsi"/>
          <w:sz w:val="22"/>
          <w:lang w:val="en-US"/>
        </w:rPr>
        <w:t xml:space="preserve">We commend the World Bank on this approach </w:t>
      </w:r>
      <w:r w:rsidR="00A62415" w:rsidRPr="00890A9A">
        <w:rPr>
          <w:rFonts w:asciiTheme="minorHAnsi" w:hAnsiTheme="minorHAnsi"/>
          <w:sz w:val="22"/>
          <w:lang w:val="en-US"/>
        </w:rPr>
        <w:t>w</w:t>
      </w:r>
      <w:r w:rsidR="00C04091" w:rsidRPr="00890A9A">
        <w:rPr>
          <w:rFonts w:asciiTheme="minorHAnsi" w:hAnsiTheme="minorHAnsi"/>
          <w:sz w:val="22"/>
        </w:rPr>
        <w:t>hile n</w:t>
      </w:r>
      <w:r w:rsidR="003114A4" w:rsidRPr="00890A9A">
        <w:rPr>
          <w:rFonts w:asciiTheme="minorHAnsi" w:hAnsiTheme="minorHAnsi"/>
          <w:sz w:val="22"/>
        </w:rPr>
        <w:t xml:space="preserve">oting the historical exclusion of people with </w:t>
      </w:r>
      <w:r w:rsidR="00C04091" w:rsidRPr="00890A9A">
        <w:rPr>
          <w:rFonts w:asciiTheme="minorHAnsi" w:hAnsiTheme="minorHAnsi"/>
          <w:sz w:val="22"/>
        </w:rPr>
        <w:t xml:space="preserve">disability </w:t>
      </w:r>
      <w:r w:rsidR="003114A4" w:rsidRPr="00890A9A">
        <w:rPr>
          <w:rFonts w:asciiTheme="minorHAnsi" w:hAnsiTheme="minorHAnsi"/>
          <w:sz w:val="22"/>
        </w:rPr>
        <w:t>from development action and from the World Bank's Environmental and Social Safeguard Policies, acknowledging the human rights imperative to ensure inclusion of pe</w:t>
      </w:r>
      <w:r w:rsidR="00A62415" w:rsidRPr="00890A9A">
        <w:rPr>
          <w:rFonts w:asciiTheme="minorHAnsi" w:hAnsiTheme="minorHAnsi"/>
          <w:sz w:val="22"/>
        </w:rPr>
        <w:t>ople of people with disability</w:t>
      </w:r>
      <w:r w:rsidR="003114A4" w:rsidRPr="00890A9A">
        <w:rPr>
          <w:rFonts w:asciiTheme="minorHAnsi" w:hAnsiTheme="minorHAnsi"/>
          <w:sz w:val="22"/>
        </w:rPr>
        <w:t xml:space="preserve"> in development activity particularly in light of the cycle of poverty and disability </w:t>
      </w:r>
      <w:r w:rsidR="00042B94">
        <w:rPr>
          <w:rFonts w:asciiTheme="minorHAnsi" w:hAnsiTheme="minorHAnsi"/>
          <w:sz w:val="22"/>
        </w:rPr>
        <w:t>(1)</w:t>
      </w:r>
      <w:r w:rsidR="00B02BE6">
        <w:rPr>
          <w:rFonts w:asciiTheme="minorHAnsi" w:hAnsiTheme="minorHAnsi"/>
          <w:sz w:val="22"/>
        </w:rPr>
        <w:t xml:space="preserve"> </w:t>
      </w:r>
      <w:r w:rsidR="003114A4" w:rsidRPr="00890A9A">
        <w:rPr>
          <w:rFonts w:asciiTheme="minorHAnsi" w:hAnsiTheme="minorHAnsi"/>
          <w:sz w:val="22"/>
        </w:rPr>
        <w:t xml:space="preserve"> and recognising the economic benefits of ensuring inclusion of p</w:t>
      </w:r>
      <w:r w:rsidR="00A62415" w:rsidRPr="00890A9A">
        <w:rPr>
          <w:rFonts w:asciiTheme="minorHAnsi" w:hAnsiTheme="minorHAnsi"/>
          <w:sz w:val="22"/>
        </w:rPr>
        <w:t xml:space="preserve">eople with </w:t>
      </w:r>
      <w:r w:rsidR="0094067C">
        <w:rPr>
          <w:rFonts w:asciiTheme="minorHAnsi" w:hAnsiTheme="minorHAnsi"/>
          <w:sz w:val="22"/>
        </w:rPr>
        <w:t>disability</w:t>
      </w:r>
      <w:r w:rsidR="00A62415" w:rsidRPr="00890A9A">
        <w:rPr>
          <w:rFonts w:asciiTheme="minorHAnsi" w:hAnsiTheme="minorHAnsi"/>
          <w:sz w:val="22"/>
        </w:rPr>
        <w:t xml:space="preserve"> (</w:t>
      </w:r>
      <w:r w:rsidR="00042B94">
        <w:rPr>
          <w:rFonts w:asciiTheme="minorHAnsi" w:hAnsiTheme="minorHAnsi"/>
          <w:sz w:val="22"/>
        </w:rPr>
        <w:t>2</w:t>
      </w:r>
      <w:r w:rsidR="00A62415" w:rsidRPr="00890A9A">
        <w:rPr>
          <w:rFonts w:asciiTheme="minorHAnsi" w:hAnsiTheme="minorHAnsi"/>
          <w:sz w:val="22"/>
        </w:rPr>
        <w:t>).</w:t>
      </w:r>
      <w:r w:rsidR="00890A9A">
        <w:rPr>
          <w:rFonts w:asciiTheme="minorHAnsi" w:hAnsiTheme="minorHAnsi"/>
          <w:sz w:val="22"/>
        </w:rPr>
        <w:t xml:space="preserve">  </w:t>
      </w:r>
      <w:r w:rsidR="00890A9A" w:rsidRPr="00890A9A">
        <w:rPr>
          <w:rFonts w:asciiTheme="minorHAnsi" w:hAnsiTheme="minorHAnsi"/>
          <w:sz w:val="22"/>
        </w:rPr>
        <w:t>The points in the ADDC submission are made in this light.</w:t>
      </w:r>
    </w:p>
    <w:p w:rsidR="00890A9A" w:rsidRPr="00890A9A" w:rsidRDefault="00890A9A" w:rsidP="003114A4">
      <w:pPr>
        <w:rPr>
          <w:rFonts w:asciiTheme="minorHAnsi" w:hAnsiTheme="minorHAnsi"/>
          <w:sz w:val="22"/>
        </w:rPr>
      </w:pPr>
    </w:p>
    <w:p w:rsidR="00890A9A" w:rsidRPr="00890A9A" w:rsidRDefault="00890A9A" w:rsidP="003114A4">
      <w:pPr>
        <w:rPr>
          <w:rFonts w:asciiTheme="minorHAnsi" w:hAnsiTheme="minorHAnsi"/>
          <w:sz w:val="22"/>
        </w:rPr>
      </w:pPr>
      <w:r>
        <w:rPr>
          <w:rFonts w:asciiTheme="minorHAnsi" w:hAnsiTheme="minorHAnsi"/>
          <w:sz w:val="22"/>
        </w:rPr>
        <w:t xml:space="preserve">ADDC </w:t>
      </w:r>
      <w:r w:rsidRPr="00890A9A">
        <w:rPr>
          <w:rFonts w:asciiTheme="minorHAnsi" w:hAnsiTheme="minorHAnsi"/>
          <w:sz w:val="22"/>
        </w:rPr>
        <w:t>offer</w:t>
      </w:r>
      <w:r>
        <w:rPr>
          <w:rFonts w:asciiTheme="minorHAnsi" w:hAnsiTheme="minorHAnsi"/>
          <w:sz w:val="22"/>
        </w:rPr>
        <w:t>s</w:t>
      </w:r>
      <w:r w:rsidRPr="00890A9A">
        <w:rPr>
          <w:rFonts w:asciiTheme="minorHAnsi" w:hAnsiTheme="minorHAnsi"/>
          <w:sz w:val="22"/>
        </w:rPr>
        <w:t xml:space="preserve"> our assistance to the World Bank</w:t>
      </w:r>
      <w:r>
        <w:rPr>
          <w:rFonts w:asciiTheme="minorHAnsi" w:hAnsiTheme="minorHAnsi"/>
          <w:sz w:val="22"/>
        </w:rPr>
        <w:t xml:space="preserve"> in finalising its </w:t>
      </w:r>
      <w:r w:rsidRPr="00890A9A">
        <w:rPr>
          <w:rFonts w:asciiTheme="minorHAnsi" w:hAnsiTheme="minorHAnsi"/>
          <w:sz w:val="22"/>
        </w:rPr>
        <w:t xml:space="preserve">work on the </w:t>
      </w:r>
      <w:r>
        <w:rPr>
          <w:rFonts w:asciiTheme="minorHAnsi" w:hAnsiTheme="minorHAnsi"/>
          <w:sz w:val="22"/>
        </w:rPr>
        <w:t>S</w:t>
      </w:r>
      <w:r w:rsidRPr="00890A9A">
        <w:rPr>
          <w:rFonts w:asciiTheme="minorHAnsi" w:hAnsiTheme="minorHAnsi"/>
          <w:sz w:val="22"/>
        </w:rPr>
        <w:t xml:space="preserve">afeguards and particularly look forward to </w:t>
      </w:r>
      <w:r w:rsidR="00042B94">
        <w:rPr>
          <w:rFonts w:asciiTheme="minorHAnsi" w:hAnsiTheme="minorHAnsi"/>
          <w:sz w:val="22"/>
        </w:rPr>
        <w:t xml:space="preserve">learning </w:t>
      </w:r>
      <w:r w:rsidRPr="00890A9A">
        <w:rPr>
          <w:rFonts w:asciiTheme="minorHAnsi" w:hAnsiTheme="minorHAnsi"/>
          <w:sz w:val="22"/>
        </w:rPr>
        <w:t>how we can provide further input into the subsquent development of guidelines.</w:t>
      </w:r>
      <w:r>
        <w:rPr>
          <w:rFonts w:asciiTheme="minorHAnsi" w:hAnsiTheme="minorHAnsi"/>
          <w:sz w:val="22"/>
        </w:rPr>
        <w:t xml:space="preserve"> </w:t>
      </w:r>
    </w:p>
    <w:p w:rsidR="00A62415" w:rsidRPr="00890A9A" w:rsidRDefault="00A62415" w:rsidP="003114A4">
      <w:pPr>
        <w:rPr>
          <w:rFonts w:asciiTheme="minorHAnsi" w:hAnsiTheme="minorHAnsi"/>
          <w:sz w:val="22"/>
        </w:rPr>
      </w:pPr>
    </w:p>
    <w:p w:rsidR="00890A9A" w:rsidRPr="00890A9A" w:rsidRDefault="00890A9A" w:rsidP="003114A4">
      <w:pPr>
        <w:rPr>
          <w:rFonts w:asciiTheme="minorHAnsi" w:hAnsiTheme="minorHAnsi"/>
          <w:sz w:val="22"/>
        </w:rPr>
      </w:pPr>
      <w:r w:rsidRPr="00890A9A">
        <w:rPr>
          <w:rFonts w:asciiTheme="minorHAnsi" w:hAnsiTheme="minorHAnsi"/>
          <w:sz w:val="22"/>
        </w:rPr>
        <w:t>Yours sincerely</w:t>
      </w:r>
    </w:p>
    <w:p w:rsidR="00890A9A" w:rsidRDefault="00890A9A" w:rsidP="003114A4">
      <w:pPr>
        <w:rPr>
          <w:rFonts w:asciiTheme="minorHAnsi" w:hAnsiTheme="minorHAnsi"/>
          <w:sz w:val="22"/>
        </w:rPr>
      </w:pPr>
    </w:p>
    <w:p w:rsidR="00890A9A" w:rsidRPr="00890A9A" w:rsidRDefault="00890A9A" w:rsidP="003114A4">
      <w:pPr>
        <w:rPr>
          <w:rFonts w:asciiTheme="minorHAnsi" w:hAnsiTheme="minorHAnsi"/>
          <w:sz w:val="22"/>
        </w:rPr>
      </w:pPr>
      <w:r w:rsidRPr="00890A9A">
        <w:rPr>
          <w:rFonts w:asciiTheme="minorHAnsi" w:hAnsiTheme="minorHAnsi"/>
          <w:sz w:val="22"/>
        </w:rPr>
        <w:t>Sophie Plumridge</w:t>
      </w:r>
    </w:p>
    <w:p w:rsidR="00C26535" w:rsidRDefault="00890A9A" w:rsidP="003114A4">
      <w:pPr>
        <w:rPr>
          <w:rFonts w:asciiTheme="minorHAnsi" w:hAnsiTheme="minorHAnsi"/>
          <w:sz w:val="22"/>
        </w:rPr>
      </w:pPr>
      <w:r w:rsidRPr="00890A9A">
        <w:rPr>
          <w:rFonts w:asciiTheme="minorHAnsi" w:hAnsiTheme="minorHAnsi"/>
          <w:sz w:val="22"/>
        </w:rPr>
        <w:t>Executive Officer</w:t>
      </w:r>
      <w:r w:rsidR="00B02BE6">
        <w:rPr>
          <w:rFonts w:asciiTheme="minorHAnsi" w:hAnsiTheme="minorHAnsi"/>
          <w:sz w:val="22"/>
        </w:rPr>
        <w:t xml:space="preserve">, </w:t>
      </w:r>
      <w:r w:rsidRPr="00890A9A">
        <w:rPr>
          <w:rFonts w:asciiTheme="minorHAnsi" w:hAnsiTheme="minorHAnsi"/>
          <w:sz w:val="22"/>
        </w:rPr>
        <w:t>Australian Disability and Development Consortium</w:t>
      </w:r>
    </w:p>
    <w:p w:rsidR="00890A9A" w:rsidRPr="00890A9A" w:rsidRDefault="00890A9A" w:rsidP="00C26535">
      <w:pPr>
        <w:spacing w:after="200"/>
        <w:jc w:val="center"/>
        <w:rPr>
          <w:rFonts w:asciiTheme="minorHAnsi" w:hAnsiTheme="minorHAnsi"/>
          <w:b/>
          <w:sz w:val="22"/>
        </w:rPr>
      </w:pPr>
      <w:r w:rsidRPr="00890A9A">
        <w:rPr>
          <w:rFonts w:asciiTheme="minorHAnsi" w:hAnsiTheme="minorHAnsi"/>
          <w:b/>
          <w:sz w:val="22"/>
        </w:rPr>
        <w:t>Submission by the Australian Disability and Development Consortium</w:t>
      </w:r>
    </w:p>
    <w:p w:rsidR="00890A9A" w:rsidRPr="00890A9A" w:rsidRDefault="00C26535" w:rsidP="00890A9A">
      <w:pPr>
        <w:jc w:val="center"/>
        <w:rPr>
          <w:rFonts w:asciiTheme="minorHAnsi" w:hAnsiTheme="minorHAnsi"/>
          <w:b/>
          <w:sz w:val="22"/>
        </w:rPr>
      </w:pPr>
      <w:r>
        <w:rPr>
          <w:rFonts w:asciiTheme="minorHAnsi" w:hAnsiTheme="minorHAnsi"/>
          <w:b/>
          <w:sz w:val="22"/>
        </w:rPr>
        <w:t>World Bank Safeguards Consu</w:t>
      </w:r>
      <w:r w:rsidR="00890A9A" w:rsidRPr="00890A9A">
        <w:rPr>
          <w:rFonts w:asciiTheme="minorHAnsi" w:hAnsiTheme="minorHAnsi"/>
          <w:b/>
          <w:sz w:val="22"/>
        </w:rPr>
        <w:t>ltation</w:t>
      </w:r>
    </w:p>
    <w:p w:rsidR="00890A9A" w:rsidRPr="00890A9A" w:rsidRDefault="00C740AB" w:rsidP="00890A9A">
      <w:pPr>
        <w:jc w:val="center"/>
        <w:rPr>
          <w:rFonts w:asciiTheme="minorHAnsi" w:hAnsiTheme="minorHAnsi"/>
          <w:b/>
          <w:sz w:val="22"/>
        </w:rPr>
      </w:pPr>
      <w:r>
        <w:rPr>
          <w:rFonts w:asciiTheme="minorHAnsi" w:hAnsiTheme="minorHAnsi"/>
          <w:b/>
          <w:sz w:val="22"/>
        </w:rPr>
        <w:t>27</w:t>
      </w:r>
      <w:r w:rsidR="00890A9A" w:rsidRPr="00890A9A">
        <w:rPr>
          <w:rFonts w:asciiTheme="minorHAnsi" w:hAnsiTheme="minorHAnsi"/>
          <w:b/>
          <w:sz w:val="22"/>
        </w:rPr>
        <w:t xml:space="preserve"> February 2015</w:t>
      </w:r>
    </w:p>
    <w:p w:rsidR="00890A9A" w:rsidRPr="00890A9A" w:rsidRDefault="00890A9A" w:rsidP="003114A4">
      <w:pPr>
        <w:rPr>
          <w:rFonts w:asciiTheme="minorHAnsi" w:hAnsiTheme="minorHAnsi"/>
          <w:sz w:val="22"/>
        </w:rPr>
      </w:pPr>
    </w:p>
    <w:p w:rsidR="00890A9A" w:rsidRPr="00890A9A" w:rsidRDefault="00890A9A" w:rsidP="003114A4">
      <w:pPr>
        <w:rPr>
          <w:rFonts w:asciiTheme="minorHAnsi" w:hAnsiTheme="minorHAnsi"/>
          <w:sz w:val="22"/>
        </w:rPr>
      </w:pPr>
    </w:p>
    <w:p w:rsidR="00A62415" w:rsidRPr="00890A9A" w:rsidRDefault="00890A9A" w:rsidP="003114A4">
      <w:pPr>
        <w:rPr>
          <w:rFonts w:asciiTheme="minorHAnsi" w:hAnsiTheme="minorHAnsi"/>
          <w:sz w:val="22"/>
        </w:rPr>
      </w:pPr>
      <w:r w:rsidRPr="00890A9A">
        <w:rPr>
          <w:rFonts w:asciiTheme="minorHAnsi" w:hAnsiTheme="minorHAnsi"/>
          <w:sz w:val="22"/>
        </w:rPr>
        <w:t xml:space="preserve">ADDC </w:t>
      </w:r>
      <w:r w:rsidR="00A62415" w:rsidRPr="00890A9A">
        <w:rPr>
          <w:rFonts w:asciiTheme="minorHAnsi" w:hAnsiTheme="minorHAnsi"/>
          <w:sz w:val="22"/>
        </w:rPr>
        <w:t>make</w:t>
      </w:r>
      <w:r w:rsidRPr="00890A9A">
        <w:rPr>
          <w:rFonts w:asciiTheme="minorHAnsi" w:hAnsiTheme="minorHAnsi"/>
          <w:sz w:val="22"/>
        </w:rPr>
        <w:t>s the following points to feed into the World Bank Safeguards Rev</w:t>
      </w:r>
      <w:r w:rsidR="006D4320">
        <w:rPr>
          <w:rFonts w:asciiTheme="minorHAnsi" w:hAnsiTheme="minorHAnsi"/>
          <w:sz w:val="22"/>
        </w:rPr>
        <w:t>ie</w:t>
      </w:r>
      <w:r w:rsidRPr="00890A9A">
        <w:rPr>
          <w:rFonts w:asciiTheme="minorHAnsi" w:hAnsiTheme="minorHAnsi"/>
          <w:sz w:val="22"/>
        </w:rPr>
        <w:t>w:</w:t>
      </w:r>
    </w:p>
    <w:p w:rsidR="003114A4" w:rsidRPr="00890A9A" w:rsidRDefault="003114A4" w:rsidP="003114A4">
      <w:pPr>
        <w:rPr>
          <w:rFonts w:asciiTheme="minorHAnsi" w:hAnsiTheme="minorHAnsi"/>
          <w:sz w:val="22"/>
        </w:rPr>
      </w:pPr>
    </w:p>
    <w:p w:rsidR="003114A4" w:rsidRPr="00890A9A" w:rsidRDefault="00C04091"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Guidelines</w:t>
      </w:r>
      <w:r w:rsidRPr="00890A9A">
        <w:rPr>
          <w:rFonts w:asciiTheme="minorHAnsi" w:hAnsiTheme="minorHAnsi"/>
          <w:sz w:val="22"/>
        </w:rPr>
        <w:t xml:space="preserve"> - </w:t>
      </w:r>
      <w:r w:rsidR="00A62415" w:rsidRPr="00890A9A">
        <w:rPr>
          <w:rFonts w:asciiTheme="minorHAnsi" w:hAnsiTheme="minorHAnsi"/>
          <w:sz w:val="22"/>
        </w:rPr>
        <w:t xml:space="preserve">we </w:t>
      </w:r>
      <w:r w:rsidR="003114A4" w:rsidRPr="00890A9A">
        <w:rPr>
          <w:rFonts w:asciiTheme="minorHAnsi" w:hAnsiTheme="minorHAnsi"/>
          <w:sz w:val="22"/>
        </w:rPr>
        <w:t xml:space="preserve">welcome the intention of the World Bank to develop </w:t>
      </w:r>
      <w:r w:rsidRPr="00890A9A">
        <w:rPr>
          <w:rFonts w:asciiTheme="minorHAnsi" w:hAnsiTheme="minorHAnsi"/>
          <w:sz w:val="22"/>
        </w:rPr>
        <w:t>g</w:t>
      </w:r>
      <w:r w:rsidR="003114A4" w:rsidRPr="00890A9A">
        <w:rPr>
          <w:rFonts w:asciiTheme="minorHAnsi" w:hAnsiTheme="minorHAnsi"/>
          <w:sz w:val="22"/>
        </w:rPr>
        <w:t>uideline</w:t>
      </w:r>
      <w:r w:rsidR="00C740AB">
        <w:rPr>
          <w:rFonts w:asciiTheme="minorHAnsi" w:hAnsiTheme="minorHAnsi"/>
          <w:sz w:val="22"/>
        </w:rPr>
        <w:t>s</w:t>
      </w:r>
      <w:r w:rsidR="003114A4" w:rsidRPr="00890A9A">
        <w:rPr>
          <w:rFonts w:asciiTheme="minorHAnsi" w:hAnsiTheme="minorHAnsi"/>
          <w:sz w:val="22"/>
        </w:rPr>
        <w:t xml:space="preserve"> to operationalise disability inclusion in safeguarding processes once the Standards themselves are finalised (</w:t>
      </w:r>
      <w:r w:rsidR="00042B94">
        <w:rPr>
          <w:rFonts w:asciiTheme="minorHAnsi" w:hAnsiTheme="minorHAnsi"/>
          <w:sz w:val="22"/>
        </w:rPr>
        <w:t>3</w:t>
      </w:r>
      <w:r w:rsidR="003114A4" w:rsidRPr="00890A9A">
        <w:rPr>
          <w:rFonts w:asciiTheme="minorHAnsi" w:hAnsiTheme="minorHAnsi"/>
          <w:sz w:val="22"/>
        </w:rPr>
        <w:t xml:space="preserve">). We seek greater clarity around this and the role that disability stakeholders will </w:t>
      </w:r>
      <w:r w:rsidR="00A62415" w:rsidRPr="00890A9A">
        <w:rPr>
          <w:rFonts w:asciiTheme="minorHAnsi" w:hAnsiTheme="minorHAnsi"/>
          <w:sz w:val="22"/>
        </w:rPr>
        <w:t xml:space="preserve">have </w:t>
      </w:r>
      <w:r w:rsidR="003114A4" w:rsidRPr="00890A9A">
        <w:rPr>
          <w:rFonts w:asciiTheme="minorHAnsi" w:hAnsiTheme="minorHAnsi"/>
          <w:sz w:val="22"/>
        </w:rPr>
        <w:t>in the proc</w:t>
      </w:r>
      <w:r w:rsidR="00A62415" w:rsidRPr="00890A9A">
        <w:rPr>
          <w:rFonts w:asciiTheme="minorHAnsi" w:hAnsiTheme="minorHAnsi"/>
          <w:sz w:val="22"/>
        </w:rPr>
        <w:t>ess of developing such guidance and recommend the World Bank engage with ADDC.</w:t>
      </w:r>
      <w:r w:rsidR="0094067C">
        <w:rPr>
          <w:rFonts w:asciiTheme="minorHAnsi" w:hAnsiTheme="minorHAnsi"/>
          <w:sz w:val="22"/>
        </w:rPr>
        <w:t xml:space="preserve">  Furthermore we recommend that </w:t>
      </w:r>
      <w:r w:rsidR="00C740AB">
        <w:rPr>
          <w:rFonts w:asciiTheme="minorHAnsi" w:hAnsiTheme="minorHAnsi"/>
          <w:sz w:val="22"/>
        </w:rPr>
        <w:t xml:space="preserve">the guidelines are a </w:t>
      </w:r>
      <w:r w:rsidR="0094067C">
        <w:rPr>
          <w:rFonts w:asciiTheme="minorHAnsi" w:hAnsiTheme="minorHAnsi"/>
          <w:sz w:val="22"/>
        </w:rPr>
        <w:t>binding policy.</w:t>
      </w:r>
    </w:p>
    <w:p w:rsidR="00C04091" w:rsidRPr="00890A9A" w:rsidRDefault="00C04091" w:rsidP="00C04091">
      <w:pPr>
        <w:pStyle w:val="ListParagraph"/>
        <w:spacing w:line="240" w:lineRule="auto"/>
        <w:contextualSpacing w:val="0"/>
        <w:rPr>
          <w:rFonts w:asciiTheme="minorHAnsi" w:hAnsiTheme="minorHAnsi"/>
          <w:sz w:val="22"/>
        </w:rPr>
      </w:pPr>
    </w:p>
    <w:p w:rsidR="00C04091" w:rsidRPr="00890A9A" w:rsidRDefault="00A62415"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Standards</w:t>
      </w:r>
      <w:r w:rsidRPr="00890A9A">
        <w:rPr>
          <w:rFonts w:asciiTheme="minorHAnsi" w:hAnsiTheme="minorHAnsi"/>
          <w:sz w:val="22"/>
        </w:rPr>
        <w:t xml:space="preserve"> - w</w:t>
      </w:r>
      <w:r w:rsidR="003114A4" w:rsidRPr="00890A9A">
        <w:rPr>
          <w:rFonts w:asciiTheme="minorHAnsi" w:hAnsiTheme="minorHAnsi"/>
          <w:sz w:val="22"/>
        </w:rPr>
        <w:t xml:space="preserve">e note with concern that there are still aspects of both the Environmental and Social Policy (ESP) and the Environmental and Social Standards (ESS) 1 - 10 that can be significantly improved to ensure a solid foundation for disability inclusion in any subsequent guidance developed by the World Bank as per point 1. </w:t>
      </w:r>
    </w:p>
    <w:p w:rsidR="00C04091" w:rsidRPr="00890A9A" w:rsidRDefault="006D4320" w:rsidP="00C04091">
      <w:pPr>
        <w:pStyle w:val="ListParagraph"/>
        <w:numPr>
          <w:ilvl w:val="1"/>
          <w:numId w:val="2"/>
        </w:numPr>
        <w:spacing w:line="240" w:lineRule="auto"/>
        <w:contextualSpacing w:val="0"/>
        <w:rPr>
          <w:rFonts w:asciiTheme="minorHAnsi" w:hAnsiTheme="minorHAnsi"/>
          <w:sz w:val="22"/>
        </w:rPr>
      </w:pPr>
      <w:r>
        <w:rPr>
          <w:rFonts w:asciiTheme="minorHAnsi" w:hAnsiTheme="minorHAnsi"/>
          <w:sz w:val="22"/>
        </w:rPr>
        <w:t>I</w:t>
      </w:r>
      <w:r w:rsidR="003114A4" w:rsidRPr="00890A9A">
        <w:rPr>
          <w:rFonts w:asciiTheme="minorHAnsi" w:hAnsiTheme="minorHAnsi"/>
          <w:sz w:val="22"/>
        </w:rPr>
        <w:t>n Phase 1 consultations in 2012-2013 the need to apply international treaties, includin</w:t>
      </w:r>
      <w:r w:rsidR="00A62415" w:rsidRPr="00890A9A">
        <w:rPr>
          <w:rFonts w:asciiTheme="minorHAnsi" w:hAnsiTheme="minorHAnsi"/>
          <w:sz w:val="22"/>
        </w:rPr>
        <w:t>g the UN C</w:t>
      </w:r>
      <w:r>
        <w:rPr>
          <w:rFonts w:asciiTheme="minorHAnsi" w:hAnsiTheme="minorHAnsi"/>
          <w:sz w:val="22"/>
        </w:rPr>
        <w:t>onvention on the Rights of Persons with Disabilities (C</w:t>
      </w:r>
      <w:r w:rsidR="00A62415" w:rsidRPr="00890A9A">
        <w:rPr>
          <w:rFonts w:asciiTheme="minorHAnsi" w:hAnsiTheme="minorHAnsi"/>
          <w:sz w:val="22"/>
        </w:rPr>
        <w:t>RPD</w:t>
      </w:r>
      <w:r>
        <w:rPr>
          <w:rFonts w:asciiTheme="minorHAnsi" w:hAnsiTheme="minorHAnsi"/>
          <w:sz w:val="22"/>
        </w:rPr>
        <w:t>)</w:t>
      </w:r>
      <w:r w:rsidR="00A62415" w:rsidRPr="00890A9A">
        <w:rPr>
          <w:rFonts w:asciiTheme="minorHAnsi" w:hAnsiTheme="minorHAnsi"/>
          <w:sz w:val="22"/>
        </w:rPr>
        <w:t>, was noted however</w:t>
      </w:r>
      <w:r w:rsidR="003114A4" w:rsidRPr="00890A9A">
        <w:rPr>
          <w:rFonts w:asciiTheme="minorHAnsi" w:hAnsiTheme="minorHAnsi"/>
          <w:sz w:val="22"/>
        </w:rPr>
        <w:t xml:space="preserve"> the conceptualisation of disability in the Draft ESP and ESS is not harmonised with the CRPD. </w:t>
      </w:r>
    </w:p>
    <w:p w:rsidR="003114A4" w:rsidRPr="00890A9A" w:rsidRDefault="006D4320" w:rsidP="00C04091">
      <w:pPr>
        <w:pStyle w:val="ListParagraph"/>
        <w:numPr>
          <w:ilvl w:val="1"/>
          <w:numId w:val="2"/>
        </w:numPr>
        <w:spacing w:line="240" w:lineRule="auto"/>
        <w:contextualSpacing w:val="0"/>
        <w:rPr>
          <w:rFonts w:asciiTheme="minorHAnsi" w:hAnsiTheme="minorHAnsi"/>
          <w:sz w:val="22"/>
        </w:rPr>
      </w:pPr>
      <w:r>
        <w:rPr>
          <w:rFonts w:asciiTheme="minorHAnsi" w:hAnsiTheme="minorHAnsi"/>
          <w:sz w:val="22"/>
        </w:rPr>
        <w:t>T</w:t>
      </w:r>
      <w:r w:rsidR="003114A4" w:rsidRPr="00890A9A">
        <w:rPr>
          <w:rFonts w:asciiTheme="minorHAnsi" w:hAnsiTheme="minorHAnsi"/>
          <w:sz w:val="22"/>
        </w:rPr>
        <w:t xml:space="preserve">hroughout the ESP and ESS, mention of "people with physical and mental disability" persists. Mentioning two specific types of disability marginalizes those with other types of </w:t>
      </w:r>
      <w:r w:rsidR="0094067C">
        <w:rPr>
          <w:rFonts w:asciiTheme="minorHAnsi" w:hAnsiTheme="minorHAnsi"/>
          <w:sz w:val="22"/>
        </w:rPr>
        <w:t>disability</w:t>
      </w:r>
      <w:r w:rsidR="003114A4" w:rsidRPr="00890A9A">
        <w:rPr>
          <w:rFonts w:asciiTheme="minorHAnsi" w:hAnsiTheme="minorHAnsi"/>
          <w:sz w:val="22"/>
        </w:rPr>
        <w:t xml:space="preserve"> including hearing, visual, intellectual and psychosocial </w:t>
      </w:r>
      <w:r w:rsidR="0094067C">
        <w:rPr>
          <w:rFonts w:asciiTheme="minorHAnsi" w:hAnsiTheme="minorHAnsi"/>
          <w:sz w:val="22"/>
        </w:rPr>
        <w:t>disability</w:t>
      </w:r>
      <w:r w:rsidR="003114A4" w:rsidRPr="00890A9A">
        <w:rPr>
          <w:rFonts w:asciiTheme="minorHAnsi" w:hAnsiTheme="minorHAnsi"/>
          <w:sz w:val="22"/>
        </w:rPr>
        <w:t>. We urge that all references to "people with physical and mental disability" are replaced with the more inclusive term of "people/persons with disability" and in line with Article 1 of the UN CRPD, the first mention of this term in each of the ESP and ESS is footnoted with a reference to the conceptualisation of disability as per Article 1 as follows: "Persons with disabilities include those who have long-term physical, mental, intellectual or sensory impairments which in interaction with various barriers may hinder their full and effective participation in society on an equal basis with others."</w:t>
      </w:r>
    </w:p>
    <w:p w:rsidR="00C04091" w:rsidRPr="00890A9A" w:rsidRDefault="00C04091" w:rsidP="00C04091">
      <w:pPr>
        <w:pStyle w:val="ListParagraph"/>
        <w:spacing w:line="240" w:lineRule="auto"/>
        <w:ind w:left="1440"/>
        <w:contextualSpacing w:val="0"/>
        <w:rPr>
          <w:rFonts w:asciiTheme="minorHAnsi" w:hAnsiTheme="minorHAnsi"/>
          <w:sz w:val="22"/>
        </w:rPr>
      </w:pPr>
    </w:p>
    <w:p w:rsidR="003114A4" w:rsidRPr="00890A9A" w:rsidRDefault="00F63E35"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Integrat</w:t>
      </w:r>
      <w:r w:rsidR="006D4320">
        <w:rPr>
          <w:rFonts w:asciiTheme="minorHAnsi" w:hAnsiTheme="minorHAnsi"/>
          <w:b/>
          <w:i/>
          <w:sz w:val="22"/>
        </w:rPr>
        <w:t xml:space="preserve">ed </w:t>
      </w:r>
      <w:r w:rsidR="0094067C">
        <w:rPr>
          <w:rFonts w:asciiTheme="minorHAnsi" w:hAnsiTheme="minorHAnsi"/>
          <w:b/>
          <w:i/>
          <w:sz w:val="22"/>
        </w:rPr>
        <w:t>P</w:t>
      </w:r>
      <w:r w:rsidR="006D4320">
        <w:rPr>
          <w:rFonts w:asciiTheme="minorHAnsi" w:hAnsiTheme="minorHAnsi"/>
          <w:b/>
          <w:i/>
          <w:sz w:val="22"/>
        </w:rPr>
        <w:t>olicy</w:t>
      </w:r>
      <w:r w:rsidR="0094067C">
        <w:rPr>
          <w:rFonts w:asciiTheme="minorHAnsi" w:hAnsiTheme="minorHAnsi"/>
          <w:b/>
          <w:i/>
          <w:sz w:val="22"/>
        </w:rPr>
        <w:t xml:space="preserve"> A</w:t>
      </w:r>
      <w:r w:rsidR="006D4320">
        <w:rPr>
          <w:rFonts w:asciiTheme="minorHAnsi" w:hAnsiTheme="minorHAnsi"/>
          <w:b/>
          <w:i/>
          <w:sz w:val="22"/>
        </w:rPr>
        <w:t>pproach</w:t>
      </w:r>
      <w:r w:rsidRPr="00890A9A">
        <w:rPr>
          <w:rFonts w:asciiTheme="minorHAnsi" w:hAnsiTheme="minorHAnsi"/>
          <w:sz w:val="22"/>
        </w:rPr>
        <w:t xml:space="preserve"> - a</w:t>
      </w:r>
      <w:r w:rsidR="003114A4" w:rsidRPr="00890A9A">
        <w:rPr>
          <w:rFonts w:asciiTheme="minorHAnsi" w:hAnsiTheme="minorHAnsi"/>
          <w:sz w:val="22"/>
        </w:rPr>
        <w:t>s per the recommendation raised in Phase 1 consultations, we support an integrated policy approach to be taken in relation to disability. However, we note that disability has not been mainstreamed throughout the ESP and</w:t>
      </w:r>
      <w:r w:rsidR="00A40D1D">
        <w:rPr>
          <w:rFonts w:asciiTheme="minorHAnsi" w:hAnsiTheme="minorHAnsi"/>
          <w:sz w:val="22"/>
        </w:rPr>
        <w:t xml:space="preserve"> all</w:t>
      </w:r>
      <w:r w:rsidR="003114A4" w:rsidRPr="00890A9A">
        <w:rPr>
          <w:rFonts w:asciiTheme="minorHAnsi" w:hAnsiTheme="minorHAnsi"/>
          <w:sz w:val="22"/>
        </w:rPr>
        <w:t xml:space="preserve"> the borrower standards ESS1 - 10. We renew the call for systematic, cross-cutting integration of disability throughout all safeguards, including the ESP and ESS1 (</w:t>
      </w:r>
      <w:r w:rsidR="003114A4" w:rsidRPr="00890A9A">
        <w:rPr>
          <w:rFonts w:asciiTheme="minorHAnsi" w:hAnsiTheme="minorHAnsi"/>
          <w:sz w:val="22"/>
          <w:lang w:val="en-US"/>
        </w:rPr>
        <w:t>Assessment and Management of Environmental and Social Risks and Impacts, ESS2 (Labor and Working Conditions), ESS4 (Community Health and Safety); ESS5 (Land Acquisition, Restrictions on Land Use and Involuntary Resettlement); ESS7 (Indigenous Peoples); ESS8 (Cultural Heritage); and ESS10 (Information Disclosure and Stakeholder Engagement).</w:t>
      </w:r>
    </w:p>
    <w:p w:rsidR="00F3753B" w:rsidRPr="00890A9A" w:rsidRDefault="00F3753B" w:rsidP="00F3753B">
      <w:pPr>
        <w:pStyle w:val="ListParagraph"/>
        <w:spacing w:line="240" w:lineRule="auto"/>
        <w:contextualSpacing w:val="0"/>
        <w:rPr>
          <w:rFonts w:asciiTheme="minorHAnsi" w:hAnsiTheme="minorHAnsi"/>
          <w:sz w:val="22"/>
        </w:rPr>
      </w:pPr>
    </w:p>
    <w:p w:rsidR="00C26535" w:rsidRDefault="00C26535">
      <w:pPr>
        <w:spacing w:after="200"/>
        <w:rPr>
          <w:rFonts w:asciiTheme="minorHAnsi" w:hAnsiTheme="minorHAnsi"/>
          <w:b/>
          <w:i/>
          <w:sz w:val="22"/>
        </w:rPr>
      </w:pPr>
      <w:r>
        <w:rPr>
          <w:rFonts w:asciiTheme="minorHAnsi" w:hAnsiTheme="minorHAnsi"/>
          <w:b/>
          <w:i/>
          <w:sz w:val="22"/>
        </w:rPr>
        <w:br w:type="page"/>
      </w:r>
    </w:p>
    <w:p w:rsidR="003114A4" w:rsidRPr="00C26535" w:rsidRDefault="006D4320" w:rsidP="00C26535">
      <w:pPr>
        <w:pStyle w:val="ListParagraph"/>
        <w:numPr>
          <w:ilvl w:val="0"/>
          <w:numId w:val="2"/>
        </w:numPr>
        <w:spacing w:line="240" w:lineRule="auto"/>
        <w:contextualSpacing w:val="0"/>
        <w:rPr>
          <w:rFonts w:asciiTheme="minorHAnsi" w:hAnsiTheme="minorHAnsi"/>
          <w:sz w:val="22"/>
        </w:rPr>
      </w:pPr>
      <w:r w:rsidRPr="00C26535">
        <w:rPr>
          <w:rFonts w:asciiTheme="minorHAnsi" w:hAnsiTheme="minorHAnsi"/>
          <w:b/>
          <w:i/>
          <w:sz w:val="22"/>
        </w:rPr>
        <w:t>Inclusion and Disabled People’s Organisations</w:t>
      </w:r>
      <w:r w:rsidR="0094067C" w:rsidRPr="00C26535">
        <w:rPr>
          <w:rFonts w:asciiTheme="minorHAnsi" w:hAnsiTheme="minorHAnsi"/>
          <w:b/>
          <w:i/>
          <w:sz w:val="22"/>
        </w:rPr>
        <w:t xml:space="preserve"> - </w:t>
      </w:r>
      <w:r w:rsidR="0094067C" w:rsidRPr="00C26535">
        <w:rPr>
          <w:rFonts w:asciiTheme="minorHAnsi" w:hAnsiTheme="minorHAnsi"/>
          <w:i/>
          <w:sz w:val="22"/>
        </w:rPr>
        <w:t>w</w:t>
      </w:r>
      <w:r w:rsidR="003114A4" w:rsidRPr="00C26535">
        <w:rPr>
          <w:rFonts w:asciiTheme="minorHAnsi" w:hAnsiTheme="minorHAnsi"/>
          <w:sz w:val="22"/>
        </w:rPr>
        <w:t xml:space="preserve">e recommend that other key concepts of the CRPD are integrated into the safeguard framework. While the word "inclusion" is referenced multiple times throughout the safeguards, the definition of inclusion in the glossary does not make mention of representative organisations of people from traditionally excluded groups. In relation to disability, as per the UN CRPD, this should reference Disabled People's Organisations which are organisations of, and for people with </w:t>
      </w:r>
      <w:r w:rsidR="0094067C" w:rsidRPr="00C26535">
        <w:rPr>
          <w:rFonts w:asciiTheme="minorHAnsi" w:hAnsiTheme="minorHAnsi"/>
          <w:sz w:val="22"/>
        </w:rPr>
        <w:t>disability.</w:t>
      </w:r>
    </w:p>
    <w:p w:rsidR="00F3753B" w:rsidRPr="00890A9A" w:rsidRDefault="00F3753B" w:rsidP="00F3753B">
      <w:pPr>
        <w:pStyle w:val="ListParagraph"/>
        <w:rPr>
          <w:rFonts w:asciiTheme="minorHAnsi" w:hAnsiTheme="minorHAnsi"/>
          <w:sz w:val="22"/>
        </w:rPr>
      </w:pPr>
    </w:p>
    <w:p w:rsidR="003114A4" w:rsidRPr="00890A9A" w:rsidRDefault="00F63E35"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Accessibility</w:t>
      </w:r>
      <w:r w:rsidRPr="00890A9A">
        <w:rPr>
          <w:rFonts w:asciiTheme="minorHAnsi" w:hAnsiTheme="minorHAnsi"/>
          <w:sz w:val="22"/>
        </w:rPr>
        <w:t xml:space="preserve"> - </w:t>
      </w:r>
      <w:r w:rsidR="003114A4" w:rsidRPr="00890A9A">
        <w:rPr>
          <w:rFonts w:asciiTheme="minorHAnsi" w:hAnsiTheme="minorHAnsi"/>
          <w:sz w:val="22"/>
        </w:rPr>
        <w:t xml:space="preserve">we recommend that the </w:t>
      </w:r>
      <w:r w:rsidR="003114A4" w:rsidRPr="00890A9A">
        <w:rPr>
          <w:rFonts w:asciiTheme="minorHAnsi" w:hAnsiTheme="minorHAnsi"/>
          <w:sz w:val="22"/>
          <w:lang w:val="en-US"/>
        </w:rPr>
        <w:t xml:space="preserve">World Bank define “accessibility” to include </w:t>
      </w:r>
      <w:r w:rsidRPr="00890A9A">
        <w:rPr>
          <w:rFonts w:asciiTheme="minorHAnsi" w:hAnsiTheme="minorHAnsi"/>
          <w:sz w:val="22"/>
          <w:lang w:val="en-US"/>
        </w:rPr>
        <w:t xml:space="preserve">the </w:t>
      </w:r>
      <w:r w:rsidR="003114A4" w:rsidRPr="00890A9A">
        <w:rPr>
          <w:rFonts w:asciiTheme="minorHAnsi" w:hAnsiTheme="minorHAnsi"/>
          <w:sz w:val="22"/>
          <w:lang w:val="en-US"/>
        </w:rPr>
        <w:t xml:space="preserve">full participation of </w:t>
      </w:r>
      <w:r w:rsidR="0094067C">
        <w:rPr>
          <w:rFonts w:asciiTheme="minorHAnsi" w:hAnsiTheme="minorHAnsi"/>
          <w:sz w:val="22"/>
          <w:lang w:val="en-US"/>
        </w:rPr>
        <w:t>people with disability</w:t>
      </w:r>
      <w:r w:rsidR="003114A4" w:rsidRPr="00890A9A">
        <w:rPr>
          <w:rFonts w:asciiTheme="minorHAnsi" w:hAnsiTheme="minorHAnsi"/>
          <w:sz w:val="22"/>
          <w:lang w:val="en-US"/>
        </w:rPr>
        <w:t xml:space="preserve"> in the World Bank project lifecycle, modeled after CRPD Article 9</w:t>
      </w:r>
      <w:r w:rsidR="00D85368">
        <w:rPr>
          <w:rFonts w:asciiTheme="minorHAnsi" w:hAnsiTheme="minorHAnsi"/>
          <w:sz w:val="22"/>
          <w:lang w:val="en-US"/>
        </w:rPr>
        <w:t>. This</w:t>
      </w:r>
      <w:r w:rsidR="003114A4" w:rsidRPr="00890A9A">
        <w:rPr>
          <w:rFonts w:asciiTheme="minorHAnsi" w:hAnsiTheme="minorHAnsi"/>
          <w:sz w:val="22"/>
          <w:lang w:val="en-US"/>
        </w:rPr>
        <w:t xml:space="preserve"> must be budgeted for to e</w:t>
      </w:r>
      <w:r w:rsidR="00F3753B" w:rsidRPr="00890A9A">
        <w:rPr>
          <w:rFonts w:asciiTheme="minorHAnsi" w:hAnsiTheme="minorHAnsi"/>
          <w:sz w:val="22"/>
          <w:lang w:val="en-US"/>
        </w:rPr>
        <w:t>nsure full participation of all.</w:t>
      </w:r>
    </w:p>
    <w:p w:rsidR="00F63E35" w:rsidRPr="00890A9A" w:rsidRDefault="00F63E35" w:rsidP="00F63E35">
      <w:pPr>
        <w:pStyle w:val="ListParagraph"/>
        <w:rPr>
          <w:rFonts w:asciiTheme="minorHAnsi" w:hAnsiTheme="minorHAnsi"/>
          <w:sz w:val="22"/>
        </w:rPr>
      </w:pPr>
    </w:p>
    <w:p w:rsidR="003114A4" w:rsidRPr="00890A9A" w:rsidRDefault="00F63E35"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Technical Capacity</w:t>
      </w:r>
      <w:r w:rsidRPr="00890A9A">
        <w:rPr>
          <w:rFonts w:asciiTheme="minorHAnsi" w:hAnsiTheme="minorHAnsi"/>
          <w:sz w:val="22"/>
        </w:rPr>
        <w:t xml:space="preserve"> - w</w:t>
      </w:r>
      <w:r w:rsidR="003114A4" w:rsidRPr="00890A9A">
        <w:rPr>
          <w:rFonts w:asciiTheme="minorHAnsi" w:hAnsiTheme="minorHAnsi"/>
          <w:sz w:val="22"/>
        </w:rPr>
        <w:t>e urge that the World Bank undertakes to develop the technical capacity of their own staff in disability inclusion</w:t>
      </w:r>
      <w:r w:rsidRPr="00890A9A">
        <w:rPr>
          <w:rFonts w:asciiTheme="minorHAnsi" w:hAnsiTheme="minorHAnsi"/>
          <w:sz w:val="22"/>
        </w:rPr>
        <w:t>.  This is</w:t>
      </w:r>
      <w:r w:rsidR="003114A4" w:rsidRPr="00890A9A">
        <w:rPr>
          <w:rFonts w:asciiTheme="minorHAnsi" w:hAnsiTheme="minorHAnsi"/>
          <w:sz w:val="22"/>
        </w:rPr>
        <w:t xml:space="preserve"> to ensure the</w:t>
      </w:r>
      <w:r w:rsidRPr="00890A9A">
        <w:rPr>
          <w:rFonts w:asciiTheme="minorHAnsi" w:hAnsiTheme="minorHAnsi"/>
          <w:sz w:val="22"/>
        </w:rPr>
        <w:t>y are in a position to support b</w:t>
      </w:r>
      <w:r w:rsidR="003114A4" w:rsidRPr="00890A9A">
        <w:rPr>
          <w:rFonts w:asciiTheme="minorHAnsi" w:hAnsiTheme="minorHAnsi"/>
          <w:sz w:val="22"/>
        </w:rPr>
        <w:t>orrowers to meet standards and guidance around disability inclusion incorporated into the ESP and ESS and any subsequent guidance that is developed by the World Bank in relation to operationalising disability inclusion. It will be crucial for the World Bank to do so as many of its borrowing members will be parties to the CRPD</w:t>
      </w:r>
      <w:r w:rsidRPr="00890A9A">
        <w:rPr>
          <w:rFonts w:asciiTheme="minorHAnsi" w:hAnsiTheme="minorHAnsi"/>
          <w:sz w:val="22"/>
        </w:rPr>
        <w:t xml:space="preserve">.  As </w:t>
      </w:r>
      <w:r w:rsidR="003114A4" w:rsidRPr="00890A9A">
        <w:rPr>
          <w:rFonts w:asciiTheme="minorHAnsi" w:hAnsiTheme="minorHAnsi"/>
          <w:sz w:val="22"/>
        </w:rPr>
        <w:t xml:space="preserve">the most rapidly ratified human rights treaty in history, as well as </w:t>
      </w:r>
      <w:r w:rsidR="003B5FCA">
        <w:rPr>
          <w:rFonts w:asciiTheme="minorHAnsi" w:hAnsiTheme="minorHAnsi"/>
          <w:sz w:val="22"/>
        </w:rPr>
        <w:t xml:space="preserve">being </w:t>
      </w:r>
      <w:r w:rsidR="003114A4" w:rsidRPr="00890A9A">
        <w:rPr>
          <w:rFonts w:asciiTheme="minorHAnsi" w:hAnsiTheme="minorHAnsi"/>
          <w:sz w:val="22"/>
        </w:rPr>
        <w:t xml:space="preserve">the </w:t>
      </w:r>
      <w:r w:rsidR="003B5FCA">
        <w:rPr>
          <w:rFonts w:asciiTheme="minorHAnsi" w:hAnsiTheme="minorHAnsi"/>
          <w:sz w:val="22"/>
        </w:rPr>
        <w:t>first</w:t>
      </w:r>
      <w:r w:rsidR="003B5FCA" w:rsidRPr="00890A9A">
        <w:rPr>
          <w:rFonts w:asciiTheme="minorHAnsi" w:hAnsiTheme="minorHAnsi"/>
          <w:sz w:val="22"/>
        </w:rPr>
        <w:t xml:space="preserve"> </w:t>
      </w:r>
      <w:r w:rsidR="003114A4" w:rsidRPr="00890A9A">
        <w:rPr>
          <w:rFonts w:asciiTheme="minorHAnsi" w:hAnsiTheme="minorHAnsi"/>
          <w:sz w:val="22"/>
        </w:rPr>
        <w:t>human rights treaty of the 21st century,  many State systems in relation to disability will be underdeveloped and in need of technical assistance to</w:t>
      </w:r>
      <w:r w:rsidRPr="00890A9A">
        <w:rPr>
          <w:rFonts w:asciiTheme="minorHAnsi" w:hAnsiTheme="minorHAnsi"/>
          <w:sz w:val="22"/>
        </w:rPr>
        <w:t xml:space="preserve"> ensure people with disability</w:t>
      </w:r>
      <w:r w:rsidR="003114A4" w:rsidRPr="00890A9A">
        <w:rPr>
          <w:rFonts w:asciiTheme="minorHAnsi" w:hAnsiTheme="minorHAnsi"/>
          <w:sz w:val="22"/>
        </w:rPr>
        <w:t xml:space="preserve"> are not marginali</w:t>
      </w:r>
      <w:r w:rsidRPr="00890A9A">
        <w:rPr>
          <w:rFonts w:asciiTheme="minorHAnsi" w:hAnsiTheme="minorHAnsi"/>
          <w:sz w:val="22"/>
        </w:rPr>
        <w:t>s</w:t>
      </w:r>
      <w:r w:rsidR="003114A4" w:rsidRPr="00890A9A">
        <w:rPr>
          <w:rFonts w:asciiTheme="minorHAnsi" w:hAnsiTheme="minorHAnsi"/>
          <w:sz w:val="22"/>
        </w:rPr>
        <w:t xml:space="preserve">ed by World Bank funded projects. </w:t>
      </w:r>
      <w:r w:rsidRPr="00890A9A">
        <w:rPr>
          <w:rFonts w:asciiTheme="minorHAnsi" w:hAnsiTheme="minorHAnsi"/>
          <w:sz w:val="22"/>
        </w:rPr>
        <w:t xml:space="preserve">It will be vital </w:t>
      </w:r>
      <w:r w:rsidR="003114A4" w:rsidRPr="00890A9A">
        <w:rPr>
          <w:rFonts w:asciiTheme="minorHAnsi" w:hAnsiTheme="minorHAnsi"/>
          <w:sz w:val="22"/>
        </w:rPr>
        <w:t xml:space="preserve">to ensure </w:t>
      </w:r>
      <w:r w:rsidRPr="00890A9A">
        <w:rPr>
          <w:rFonts w:asciiTheme="minorHAnsi" w:hAnsiTheme="minorHAnsi"/>
          <w:sz w:val="22"/>
        </w:rPr>
        <w:t>b</w:t>
      </w:r>
      <w:r w:rsidR="003114A4" w:rsidRPr="00890A9A">
        <w:rPr>
          <w:rFonts w:asciiTheme="minorHAnsi" w:hAnsiTheme="minorHAnsi"/>
          <w:sz w:val="22"/>
        </w:rPr>
        <w:t xml:space="preserve">orrowers are not permitted to rely only on their own local laws and systems in regards to disability inclusion and that they are supported by the </w:t>
      </w:r>
      <w:r w:rsidRPr="00890A9A">
        <w:rPr>
          <w:rFonts w:asciiTheme="minorHAnsi" w:hAnsiTheme="minorHAnsi"/>
          <w:sz w:val="22"/>
        </w:rPr>
        <w:t xml:space="preserve">World </w:t>
      </w:r>
      <w:r w:rsidR="003114A4" w:rsidRPr="00890A9A">
        <w:rPr>
          <w:rFonts w:asciiTheme="minorHAnsi" w:hAnsiTheme="minorHAnsi"/>
          <w:sz w:val="22"/>
        </w:rPr>
        <w:t>Bank to meet commitments to disability inclusion incorporated in the safeguards.</w:t>
      </w:r>
    </w:p>
    <w:p w:rsidR="00F3753B" w:rsidRPr="00890A9A" w:rsidRDefault="00F3753B" w:rsidP="00F3753B">
      <w:pPr>
        <w:pStyle w:val="ListParagraph"/>
        <w:spacing w:line="240" w:lineRule="auto"/>
        <w:contextualSpacing w:val="0"/>
        <w:rPr>
          <w:rFonts w:asciiTheme="minorHAnsi" w:hAnsiTheme="minorHAnsi"/>
          <w:sz w:val="22"/>
        </w:rPr>
      </w:pPr>
    </w:p>
    <w:p w:rsidR="003114A4" w:rsidRPr="00890A9A" w:rsidRDefault="00F63E35"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Development Partners</w:t>
      </w:r>
      <w:r w:rsidRPr="00890A9A">
        <w:rPr>
          <w:rFonts w:asciiTheme="minorHAnsi" w:hAnsiTheme="minorHAnsi"/>
          <w:sz w:val="22"/>
        </w:rPr>
        <w:t xml:space="preserve"> - w</w:t>
      </w:r>
      <w:r w:rsidR="003114A4" w:rsidRPr="00890A9A">
        <w:rPr>
          <w:rFonts w:asciiTheme="minorHAnsi" w:hAnsiTheme="minorHAnsi"/>
          <w:sz w:val="22"/>
        </w:rPr>
        <w:t>e support the commitment of the World Bank (</w:t>
      </w:r>
      <w:r w:rsidR="00042B94">
        <w:rPr>
          <w:rFonts w:asciiTheme="minorHAnsi" w:hAnsiTheme="minorHAnsi"/>
          <w:sz w:val="22"/>
        </w:rPr>
        <w:t>4</w:t>
      </w:r>
      <w:r w:rsidR="003114A4" w:rsidRPr="00890A9A">
        <w:rPr>
          <w:rFonts w:asciiTheme="minorHAnsi" w:hAnsiTheme="minorHAnsi"/>
          <w:sz w:val="22"/>
        </w:rPr>
        <w:t xml:space="preserve">) to harmonize their approach to disability inclusion with that of their development partners. </w:t>
      </w:r>
      <w:r w:rsidRPr="00890A9A">
        <w:rPr>
          <w:rFonts w:asciiTheme="minorHAnsi" w:hAnsiTheme="minorHAnsi"/>
          <w:sz w:val="22"/>
        </w:rPr>
        <w:t>W</w:t>
      </w:r>
      <w:r w:rsidR="003114A4" w:rsidRPr="00890A9A">
        <w:rPr>
          <w:rFonts w:asciiTheme="minorHAnsi" w:hAnsiTheme="minorHAnsi"/>
          <w:sz w:val="22"/>
        </w:rPr>
        <w:t>e urge the World Bank to look to the Australian Department of Foreign Affairs and Trade (DFAT) to learn from the DFAT experience of operationalising their core commitment to disability inclusion in D</w:t>
      </w:r>
      <w:r w:rsidRPr="00890A9A">
        <w:rPr>
          <w:rFonts w:asciiTheme="minorHAnsi" w:hAnsiTheme="minorHAnsi"/>
          <w:sz w:val="22"/>
        </w:rPr>
        <w:t>FAT funded development projects and other partners.</w:t>
      </w:r>
    </w:p>
    <w:p w:rsidR="00F3753B" w:rsidRPr="00890A9A" w:rsidRDefault="00F3753B" w:rsidP="00F3753B">
      <w:pPr>
        <w:pStyle w:val="ListParagraph"/>
        <w:spacing w:line="240" w:lineRule="auto"/>
        <w:contextualSpacing w:val="0"/>
        <w:rPr>
          <w:rFonts w:asciiTheme="minorHAnsi" w:hAnsiTheme="minorHAnsi"/>
          <w:sz w:val="22"/>
        </w:rPr>
      </w:pPr>
    </w:p>
    <w:p w:rsidR="003114A4" w:rsidRPr="00890A9A" w:rsidRDefault="00F63E35"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Data</w:t>
      </w:r>
      <w:r w:rsidRPr="00890A9A">
        <w:rPr>
          <w:rFonts w:asciiTheme="minorHAnsi" w:hAnsiTheme="minorHAnsi"/>
          <w:sz w:val="22"/>
        </w:rPr>
        <w:t xml:space="preserve"> - w</w:t>
      </w:r>
      <w:r w:rsidR="003114A4" w:rsidRPr="00890A9A">
        <w:rPr>
          <w:rFonts w:asciiTheme="minorHAnsi" w:hAnsiTheme="minorHAnsi"/>
          <w:sz w:val="22"/>
        </w:rPr>
        <w:t xml:space="preserve">e recommend that in order to ensure </w:t>
      </w:r>
      <w:r w:rsidR="003114A4" w:rsidRPr="00890A9A">
        <w:rPr>
          <w:rFonts w:asciiTheme="minorHAnsi" w:hAnsiTheme="minorHAnsi"/>
          <w:sz w:val="22"/>
          <w:lang w:val="en-US"/>
        </w:rPr>
        <w:t xml:space="preserve">effective implementation and monitoring of inclusive safeguards, the </w:t>
      </w:r>
      <w:r w:rsidRPr="00890A9A">
        <w:rPr>
          <w:rFonts w:asciiTheme="minorHAnsi" w:hAnsiTheme="minorHAnsi"/>
          <w:sz w:val="22"/>
          <w:lang w:val="en-US"/>
        </w:rPr>
        <w:t>World B</w:t>
      </w:r>
      <w:r w:rsidR="003114A4" w:rsidRPr="00890A9A">
        <w:rPr>
          <w:rFonts w:asciiTheme="minorHAnsi" w:hAnsiTheme="minorHAnsi"/>
          <w:sz w:val="22"/>
          <w:lang w:val="en-US"/>
        </w:rPr>
        <w:t>ank must have disaggregated data on disability for all projects that might have direct or indirect effect</w:t>
      </w:r>
      <w:r w:rsidR="00D85368">
        <w:rPr>
          <w:rFonts w:asciiTheme="minorHAnsi" w:hAnsiTheme="minorHAnsi"/>
          <w:sz w:val="22"/>
          <w:lang w:val="en-US"/>
        </w:rPr>
        <w:t>s</w:t>
      </w:r>
      <w:r w:rsidR="003114A4" w:rsidRPr="00890A9A">
        <w:rPr>
          <w:rFonts w:asciiTheme="minorHAnsi" w:hAnsiTheme="minorHAnsi"/>
          <w:sz w:val="22"/>
          <w:lang w:val="en-US"/>
        </w:rPr>
        <w:t xml:space="preserve"> on people with </w:t>
      </w:r>
      <w:r w:rsidR="00B931CF" w:rsidRPr="00890A9A">
        <w:rPr>
          <w:rFonts w:asciiTheme="minorHAnsi" w:hAnsiTheme="minorHAnsi"/>
          <w:sz w:val="22"/>
          <w:lang w:val="en-US"/>
        </w:rPr>
        <w:t>disability</w:t>
      </w:r>
      <w:r w:rsidR="003114A4" w:rsidRPr="00890A9A">
        <w:rPr>
          <w:rFonts w:asciiTheme="minorHAnsi" w:hAnsiTheme="minorHAnsi"/>
          <w:sz w:val="22"/>
          <w:lang w:val="en-US"/>
        </w:rPr>
        <w:t xml:space="preserve">. Without a commitment to disability inclusive monitoring and evaluation processes, the </w:t>
      </w:r>
      <w:r w:rsidR="00B931CF" w:rsidRPr="00890A9A">
        <w:rPr>
          <w:rFonts w:asciiTheme="minorHAnsi" w:hAnsiTheme="minorHAnsi"/>
          <w:sz w:val="22"/>
          <w:lang w:val="en-US"/>
        </w:rPr>
        <w:t xml:space="preserve">World </w:t>
      </w:r>
      <w:r w:rsidR="003114A4" w:rsidRPr="00890A9A">
        <w:rPr>
          <w:rFonts w:asciiTheme="minorHAnsi" w:hAnsiTheme="minorHAnsi"/>
          <w:sz w:val="22"/>
          <w:lang w:val="en-US"/>
        </w:rPr>
        <w:t>Bank wil</w:t>
      </w:r>
      <w:r w:rsidR="00B931CF" w:rsidRPr="00890A9A">
        <w:rPr>
          <w:rFonts w:asciiTheme="minorHAnsi" w:hAnsiTheme="minorHAnsi"/>
          <w:sz w:val="22"/>
          <w:lang w:val="en-US"/>
        </w:rPr>
        <w:t>l not be able to gauge whether b</w:t>
      </w:r>
      <w:r w:rsidR="003114A4" w:rsidRPr="00890A9A">
        <w:rPr>
          <w:rFonts w:asciiTheme="minorHAnsi" w:hAnsiTheme="minorHAnsi"/>
          <w:sz w:val="22"/>
          <w:lang w:val="en-US"/>
        </w:rPr>
        <w:t>orrowers are complying with guidance around disability inclusion incorporated in the ESS.</w:t>
      </w:r>
    </w:p>
    <w:p w:rsidR="00F3753B" w:rsidRPr="00890A9A" w:rsidRDefault="00F3753B" w:rsidP="00F3753B">
      <w:pPr>
        <w:pStyle w:val="ListParagraph"/>
        <w:rPr>
          <w:rFonts w:asciiTheme="minorHAnsi" w:hAnsiTheme="minorHAnsi"/>
          <w:sz w:val="22"/>
        </w:rPr>
      </w:pPr>
    </w:p>
    <w:p w:rsidR="003114A4" w:rsidRPr="00890A9A" w:rsidRDefault="00B931CF" w:rsidP="003114A4">
      <w:pPr>
        <w:pStyle w:val="ListParagraph"/>
        <w:numPr>
          <w:ilvl w:val="0"/>
          <w:numId w:val="2"/>
        </w:numPr>
        <w:spacing w:line="240" w:lineRule="auto"/>
        <w:contextualSpacing w:val="0"/>
        <w:rPr>
          <w:rFonts w:asciiTheme="minorHAnsi" w:hAnsiTheme="minorHAnsi"/>
          <w:sz w:val="22"/>
        </w:rPr>
      </w:pPr>
      <w:r w:rsidRPr="00890A9A">
        <w:rPr>
          <w:rFonts w:asciiTheme="minorHAnsi" w:hAnsiTheme="minorHAnsi"/>
          <w:b/>
          <w:i/>
          <w:sz w:val="22"/>
        </w:rPr>
        <w:t>People with Disability</w:t>
      </w:r>
      <w:r w:rsidRPr="00890A9A">
        <w:rPr>
          <w:rFonts w:asciiTheme="minorHAnsi" w:hAnsiTheme="minorHAnsi"/>
          <w:sz w:val="22"/>
        </w:rPr>
        <w:t xml:space="preserve"> - w</w:t>
      </w:r>
      <w:r w:rsidR="003114A4" w:rsidRPr="00890A9A">
        <w:rPr>
          <w:rFonts w:asciiTheme="minorHAnsi" w:hAnsiTheme="minorHAnsi"/>
          <w:sz w:val="22"/>
        </w:rPr>
        <w:t xml:space="preserve">e urge the World Bank to ensure people with </w:t>
      </w:r>
      <w:r w:rsidRPr="00890A9A">
        <w:rPr>
          <w:rFonts w:asciiTheme="minorHAnsi" w:hAnsiTheme="minorHAnsi"/>
          <w:sz w:val="22"/>
        </w:rPr>
        <w:t>disability</w:t>
      </w:r>
      <w:r w:rsidR="003114A4" w:rsidRPr="00890A9A">
        <w:rPr>
          <w:rFonts w:asciiTheme="minorHAnsi" w:hAnsiTheme="minorHAnsi"/>
          <w:sz w:val="22"/>
        </w:rPr>
        <w:t xml:space="preserve"> are actively included </w:t>
      </w:r>
      <w:r w:rsidR="0094067C">
        <w:rPr>
          <w:rFonts w:asciiTheme="minorHAnsi" w:hAnsiTheme="minorHAnsi"/>
          <w:sz w:val="22"/>
        </w:rPr>
        <w:t xml:space="preserve">at all stages of the project lifecycle (from assessment to design to implemenation and monitoring) and value the </w:t>
      </w:r>
      <w:r w:rsidR="003114A4" w:rsidRPr="00890A9A">
        <w:rPr>
          <w:rFonts w:asciiTheme="minorHAnsi" w:hAnsiTheme="minorHAnsi"/>
          <w:sz w:val="22"/>
        </w:rPr>
        <w:t xml:space="preserve">lived experience of people with </w:t>
      </w:r>
      <w:r w:rsidRPr="00890A9A">
        <w:rPr>
          <w:rFonts w:asciiTheme="minorHAnsi" w:hAnsiTheme="minorHAnsi"/>
          <w:sz w:val="22"/>
        </w:rPr>
        <w:t>disability</w:t>
      </w:r>
      <w:r w:rsidR="003114A4" w:rsidRPr="00890A9A">
        <w:rPr>
          <w:rFonts w:asciiTheme="minorHAnsi" w:hAnsiTheme="minorHAnsi"/>
          <w:sz w:val="22"/>
        </w:rPr>
        <w:t xml:space="preserve"> </w:t>
      </w:r>
      <w:r w:rsidR="0094067C">
        <w:rPr>
          <w:rFonts w:asciiTheme="minorHAnsi" w:hAnsiTheme="minorHAnsi"/>
          <w:sz w:val="22"/>
        </w:rPr>
        <w:t xml:space="preserve">as they </w:t>
      </w:r>
      <w:r w:rsidR="003114A4" w:rsidRPr="00890A9A">
        <w:rPr>
          <w:rFonts w:asciiTheme="minorHAnsi" w:hAnsiTheme="minorHAnsi"/>
          <w:sz w:val="22"/>
        </w:rPr>
        <w:t xml:space="preserve">are </w:t>
      </w:r>
      <w:r w:rsidR="0094067C">
        <w:rPr>
          <w:rFonts w:asciiTheme="minorHAnsi" w:hAnsiTheme="minorHAnsi"/>
          <w:sz w:val="22"/>
        </w:rPr>
        <w:t xml:space="preserve">the </w:t>
      </w:r>
      <w:r w:rsidR="003114A4" w:rsidRPr="00890A9A">
        <w:rPr>
          <w:rFonts w:asciiTheme="minorHAnsi" w:hAnsiTheme="minorHAnsi"/>
          <w:sz w:val="22"/>
        </w:rPr>
        <w:t>experts in determining the potential impacts on their lives of development projects.</w:t>
      </w:r>
    </w:p>
    <w:p w:rsidR="003114A4" w:rsidRPr="00890A9A" w:rsidRDefault="003114A4" w:rsidP="003114A4">
      <w:pPr>
        <w:rPr>
          <w:rFonts w:asciiTheme="minorHAnsi" w:hAnsiTheme="minorHAnsi"/>
          <w:sz w:val="22"/>
        </w:rPr>
      </w:pPr>
    </w:p>
    <w:p w:rsidR="00042B94" w:rsidRDefault="003114A4" w:rsidP="003114A4">
      <w:pPr>
        <w:pStyle w:val="Default"/>
        <w:rPr>
          <w:rFonts w:asciiTheme="minorHAnsi" w:hAnsiTheme="minorHAnsi"/>
          <w:color w:val="auto"/>
          <w:sz w:val="20"/>
          <w:szCs w:val="20"/>
        </w:rPr>
      </w:pPr>
      <w:r w:rsidRPr="00890A9A">
        <w:rPr>
          <w:rFonts w:asciiTheme="minorHAnsi" w:hAnsiTheme="minorHAnsi"/>
          <w:color w:val="auto"/>
          <w:sz w:val="20"/>
          <w:szCs w:val="20"/>
        </w:rPr>
        <w:t xml:space="preserve">(1) </w:t>
      </w:r>
      <w:r w:rsidR="00042B94">
        <w:rPr>
          <w:rFonts w:asciiTheme="minorHAnsi" w:hAnsiTheme="minorHAnsi"/>
          <w:color w:val="auto"/>
          <w:sz w:val="20"/>
          <w:szCs w:val="20"/>
        </w:rPr>
        <w:t xml:space="preserve">CBM (2012) </w:t>
      </w:r>
      <w:r w:rsidR="00042B94">
        <w:rPr>
          <w:rFonts w:asciiTheme="minorHAnsi" w:hAnsiTheme="minorHAnsi"/>
          <w:i/>
          <w:color w:val="auto"/>
          <w:sz w:val="20"/>
          <w:szCs w:val="20"/>
        </w:rPr>
        <w:t>Inclusion Made Easy</w:t>
      </w:r>
      <w:r w:rsidR="00042B94">
        <w:rPr>
          <w:rFonts w:asciiTheme="minorHAnsi" w:hAnsiTheme="minorHAnsi"/>
          <w:color w:val="auto"/>
          <w:sz w:val="20"/>
          <w:szCs w:val="20"/>
        </w:rPr>
        <w:t xml:space="preserve">, available from: </w:t>
      </w:r>
      <w:r w:rsidR="00D85368" w:rsidRPr="00D85368">
        <w:rPr>
          <w:rFonts w:asciiTheme="minorHAnsi" w:hAnsiTheme="minorHAnsi"/>
          <w:color w:val="auto"/>
          <w:sz w:val="20"/>
          <w:szCs w:val="20"/>
        </w:rPr>
        <w:t>http://www.cbm.org/Inclusion-Made-Easy-329091.php</w:t>
      </w:r>
    </w:p>
    <w:p w:rsidR="003114A4" w:rsidRPr="00890A9A" w:rsidRDefault="00042B94" w:rsidP="003114A4">
      <w:pPr>
        <w:pStyle w:val="Default"/>
        <w:rPr>
          <w:rFonts w:asciiTheme="minorHAnsi" w:hAnsiTheme="minorHAnsi"/>
          <w:color w:val="auto"/>
          <w:sz w:val="20"/>
          <w:szCs w:val="20"/>
          <w:lang w:val="en-US"/>
        </w:rPr>
      </w:pPr>
      <w:r>
        <w:rPr>
          <w:rFonts w:asciiTheme="minorHAnsi" w:hAnsiTheme="minorHAnsi"/>
          <w:color w:val="auto"/>
          <w:sz w:val="20"/>
          <w:szCs w:val="20"/>
        </w:rPr>
        <w:t xml:space="preserve">(2) </w:t>
      </w:r>
      <w:r w:rsidR="003114A4" w:rsidRPr="00890A9A">
        <w:rPr>
          <w:rFonts w:asciiTheme="minorHAnsi" w:hAnsiTheme="minorHAnsi"/>
          <w:color w:val="auto"/>
          <w:sz w:val="20"/>
          <w:szCs w:val="20"/>
        </w:rPr>
        <w:t>Lena Morgon Banks and Sarah Polack "</w:t>
      </w:r>
      <w:r w:rsidR="003114A4" w:rsidRPr="00890A9A">
        <w:rPr>
          <w:rStyle w:val="Strong"/>
          <w:rFonts w:asciiTheme="minorHAnsi" w:hAnsiTheme="minorHAnsi"/>
          <w:b w:val="0"/>
          <w:bCs w:val="0"/>
          <w:i/>
          <w:iCs/>
          <w:color w:val="auto"/>
          <w:sz w:val="20"/>
          <w:szCs w:val="20"/>
          <w:lang w:val="en-US"/>
        </w:rPr>
        <w:t>The Economic Costs of Exclusion and Gains of Inclusion of People with Disabilities: Evidence from Low and Middle Income Countries</w:t>
      </w:r>
      <w:r w:rsidR="003114A4" w:rsidRPr="00890A9A">
        <w:rPr>
          <w:rStyle w:val="Strong"/>
          <w:rFonts w:asciiTheme="minorHAnsi" w:hAnsiTheme="minorHAnsi"/>
          <w:b w:val="0"/>
          <w:bCs w:val="0"/>
          <w:color w:val="auto"/>
          <w:sz w:val="20"/>
          <w:szCs w:val="20"/>
          <w:lang w:val="en-US"/>
        </w:rPr>
        <w:t>", available from:</w:t>
      </w:r>
      <w:r w:rsidR="003114A4" w:rsidRPr="00890A9A">
        <w:rPr>
          <w:rFonts w:asciiTheme="minorHAnsi" w:hAnsiTheme="minorHAnsi"/>
          <w:color w:val="auto"/>
          <w:sz w:val="20"/>
          <w:szCs w:val="20"/>
          <w:lang w:val="en-US"/>
        </w:rPr>
        <w:t xml:space="preserve"> </w:t>
      </w:r>
      <w:hyperlink r:id="rId8" w:history="1">
        <w:r w:rsidR="003114A4" w:rsidRPr="00890A9A">
          <w:rPr>
            <w:rStyle w:val="Hyperlink"/>
            <w:rFonts w:asciiTheme="minorHAnsi" w:hAnsiTheme="minorHAnsi"/>
            <w:color w:val="auto"/>
            <w:sz w:val="20"/>
            <w:szCs w:val="20"/>
            <w:lang w:val="en-US"/>
          </w:rPr>
          <w:t>http://disabilitycentre.lshtm.ac.uk/files/2014/07/Costs-of-Exclusion-and-Gains-of-Inclusion-Report.pdf</w:t>
        </w:r>
      </w:hyperlink>
    </w:p>
    <w:p w:rsidR="003114A4" w:rsidRPr="00890A9A" w:rsidRDefault="003114A4" w:rsidP="003114A4">
      <w:pPr>
        <w:pStyle w:val="Default"/>
        <w:rPr>
          <w:rFonts w:asciiTheme="minorHAnsi" w:hAnsiTheme="minorHAnsi"/>
          <w:color w:val="auto"/>
          <w:sz w:val="20"/>
          <w:szCs w:val="20"/>
        </w:rPr>
      </w:pPr>
      <w:r w:rsidRPr="00890A9A">
        <w:rPr>
          <w:rFonts w:asciiTheme="minorHAnsi" w:hAnsiTheme="minorHAnsi"/>
          <w:color w:val="auto"/>
          <w:sz w:val="20"/>
          <w:szCs w:val="20"/>
          <w:lang w:val="en-US"/>
        </w:rPr>
        <w:t>(</w:t>
      </w:r>
      <w:r w:rsidR="00042B94">
        <w:rPr>
          <w:rFonts w:asciiTheme="minorHAnsi" w:hAnsiTheme="minorHAnsi"/>
          <w:color w:val="auto"/>
          <w:sz w:val="20"/>
          <w:szCs w:val="20"/>
          <w:lang w:val="en-US"/>
        </w:rPr>
        <w:t>3</w:t>
      </w:r>
      <w:r w:rsidRPr="00890A9A">
        <w:rPr>
          <w:rFonts w:asciiTheme="minorHAnsi" w:hAnsiTheme="minorHAnsi"/>
          <w:color w:val="auto"/>
          <w:sz w:val="20"/>
          <w:szCs w:val="20"/>
          <w:lang w:val="en-US"/>
        </w:rPr>
        <w:t xml:space="preserve">) </w:t>
      </w:r>
      <w:r w:rsidRPr="00890A9A">
        <w:rPr>
          <w:rFonts w:asciiTheme="minorHAnsi" w:hAnsiTheme="minorHAnsi"/>
          <w:color w:val="auto"/>
          <w:sz w:val="20"/>
          <w:szCs w:val="20"/>
        </w:rPr>
        <w:t>As reported by World Bank representatives present at the Melbourne, Australia consultation on 4th February 2015.</w:t>
      </w:r>
    </w:p>
    <w:p w:rsidR="009766EA" w:rsidRDefault="003114A4" w:rsidP="00C26535">
      <w:pPr>
        <w:pStyle w:val="Default"/>
      </w:pPr>
      <w:r w:rsidRPr="00890A9A">
        <w:rPr>
          <w:rFonts w:asciiTheme="minorHAnsi" w:hAnsiTheme="minorHAnsi"/>
          <w:color w:val="auto"/>
          <w:sz w:val="20"/>
          <w:szCs w:val="20"/>
          <w:lang w:val="en-US"/>
        </w:rPr>
        <w:t>(</w:t>
      </w:r>
      <w:r w:rsidR="00042B94">
        <w:rPr>
          <w:rFonts w:asciiTheme="minorHAnsi" w:hAnsiTheme="minorHAnsi"/>
          <w:color w:val="auto"/>
          <w:sz w:val="20"/>
          <w:szCs w:val="20"/>
          <w:lang w:val="en-US"/>
        </w:rPr>
        <w:t>4</w:t>
      </w:r>
      <w:r w:rsidRPr="00890A9A">
        <w:rPr>
          <w:rFonts w:asciiTheme="minorHAnsi" w:hAnsiTheme="minorHAnsi"/>
          <w:color w:val="auto"/>
          <w:sz w:val="20"/>
          <w:szCs w:val="20"/>
          <w:lang w:val="en-US"/>
        </w:rPr>
        <w:t xml:space="preserve">) </w:t>
      </w:r>
      <w:r w:rsidRPr="00890A9A">
        <w:rPr>
          <w:rFonts w:asciiTheme="minorHAnsi" w:hAnsiTheme="minorHAnsi"/>
          <w:color w:val="auto"/>
          <w:sz w:val="20"/>
          <w:szCs w:val="20"/>
        </w:rPr>
        <w:t>As reported by World Bank representatives present at the Melbourne, Australia consultation on 4th February 2015.</w:t>
      </w:r>
    </w:p>
    <w:sectPr w:rsidR="009766EA" w:rsidSect="00C26535">
      <w:headerReference w:type="default" r:id="rId9"/>
      <w:pgSz w:w="11906" w:h="16838"/>
      <w:pgMar w:top="170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35" w:rsidRDefault="00C26535" w:rsidP="00C26535">
      <w:pPr>
        <w:spacing w:line="240" w:lineRule="auto"/>
      </w:pPr>
      <w:r>
        <w:separator/>
      </w:r>
    </w:p>
  </w:endnote>
  <w:endnote w:type="continuationSeparator" w:id="0">
    <w:p w:rsidR="00C26535" w:rsidRDefault="00C26535" w:rsidP="00C265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35" w:rsidRDefault="00C26535" w:rsidP="00C26535">
      <w:pPr>
        <w:spacing w:line="240" w:lineRule="auto"/>
      </w:pPr>
      <w:r>
        <w:separator/>
      </w:r>
    </w:p>
  </w:footnote>
  <w:footnote w:type="continuationSeparator" w:id="0">
    <w:p w:rsidR="00C26535" w:rsidRDefault="00C26535" w:rsidP="00C265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35" w:rsidRDefault="00C26535">
    <w:pPr>
      <w:pStyle w:val="Header"/>
    </w:pPr>
    <w:r>
      <w:rPr>
        <w:noProof/>
        <w:lang w:val="en-AU" w:eastAsia="en-AU"/>
      </w:rPr>
      <w:drawing>
        <wp:anchor distT="0" distB="0" distL="114300" distR="114300" simplePos="0" relativeHeight="251658240" behindDoc="0" locked="0" layoutInCell="1" allowOverlap="1">
          <wp:simplePos x="0" y="0"/>
          <wp:positionH relativeFrom="column">
            <wp:posOffset>4250690</wp:posOffset>
          </wp:positionH>
          <wp:positionV relativeFrom="paragraph">
            <wp:posOffset>-290195</wp:posOffset>
          </wp:positionV>
          <wp:extent cx="1926590" cy="850265"/>
          <wp:effectExtent l="19050" t="0" r="0" b="0"/>
          <wp:wrapThrough wrapText="bothSides">
            <wp:wrapPolygon edited="0">
              <wp:start x="-214" y="0"/>
              <wp:lineTo x="-214" y="21294"/>
              <wp:lineTo x="21572" y="21294"/>
              <wp:lineTo x="21572" y="0"/>
              <wp:lineTo x="-214" y="0"/>
            </wp:wrapPolygon>
          </wp:wrapThrough>
          <wp:docPr id="2" name="Picture 2" descr="S:\CBM\ADDC\Marketing\ADDC Logos\ADDC logo_PMS3145+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M\ADDC\Marketing\ADDC Logos\ADDC logo_PMS3145+BLACK.jpg"/>
                  <pic:cNvPicPr>
                    <a:picLocks noChangeAspect="1" noChangeArrowheads="1"/>
                  </pic:cNvPicPr>
                </pic:nvPicPr>
                <pic:blipFill>
                  <a:blip r:embed="rId1"/>
                  <a:srcRect/>
                  <a:stretch>
                    <a:fillRect/>
                  </a:stretch>
                </pic:blipFill>
                <pic:spPr bwMode="auto">
                  <a:xfrm>
                    <a:off x="0" y="0"/>
                    <a:ext cx="1926590" cy="850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CD4"/>
    <w:multiLevelType w:val="hybridMultilevel"/>
    <w:tmpl w:val="E72E4D6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7849"/>
    <w:multiLevelType w:val="hybridMultilevel"/>
    <w:tmpl w:val="BDC0E182"/>
    <w:lvl w:ilvl="0" w:tplc="0C09000F">
      <w:start w:val="1"/>
      <w:numFmt w:val="decimal"/>
      <w:lvlText w:val="%1."/>
      <w:lvlJc w:val="left"/>
      <w:pPr>
        <w:ind w:left="720" w:hanging="360"/>
      </w:pPr>
    </w:lvl>
    <w:lvl w:ilvl="1" w:tplc="D83853E4">
      <w:numFmt w:val="bullet"/>
      <w:lvlText w:val="-"/>
      <w:lvlJc w:val="left"/>
      <w:pPr>
        <w:ind w:left="1440" w:hanging="360"/>
      </w:pPr>
      <w:rPr>
        <w:rFonts w:ascii="Calibri" w:eastAsia="Calibri" w:hAnsi="Calibri"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47281CCF"/>
    <w:multiLevelType w:val="multilevel"/>
    <w:tmpl w:val="D0E8F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D4964"/>
    <w:rsid w:val="00022DAE"/>
    <w:rsid w:val="00023ED8"/>
    <w:rsid w:val="0003160E"/>
    <w:rsid w:val="0003637E"/>
    <w:rsid w:val="00036E64"/>
    <w:rsid w:val="00036EDE"/>
    <w:rsid w:val="0003799D"/>
    <w:rsid w:val="00040CE1"/>
    <w:rsid w:val="00042621"/>
    <w:rsid w:val="00042B94"/>
    <w:rsid w:val="000465DA"/>
    <w:rsid w:val="00051324"/>
    <w:rsid w:val="00054C84"/>
    <w:rsid w:val="000566BD"/>
    <w:rsid w:val="00060F69"/>
    <w:rsid w:val="000629CC"/>
    <w:rsid w:val="0007328B"/>
    <w:rsid w:val="00074541"/>
    <w:rsid w:val="00087626"/>
    <w:rsid w:val="00093990"/>
    <w:rsid w:val="00094DF0"/>
    <w:rsid w:val="000A0D75"/>
    <w:rsid w:val="000A2059"/>
    <w:rsid w:val="000A4BBA"/>
    <w:rsid w:val="000C18E2"/>
    <w:rsid w:val="000C3640"/>
    <w:rsid w:val="000C3F73"/>
    <w:rsid w:val="000D29ED"/>
    <w:rsid w:val="000E3BED"/>
    <w:rsid w:val="000E4262"/>
    <w:rsid w:val="000F39D1"/>
    <w:rsid w:val="00100C81"/>
    <w:rsid w:val="00103EBA"/>
    <w:rsid w:val="001077BE"/>
    <w:rsid w:val="00112A68"/>
    <w:rsid w:val="0011484E"/>
    <w:rsid w:val="00132078"/>
    <w:rsid w:val="001329CD"/>
    <w:rsid w:val="0013325C"/>
    <w:rsid w:val="00134E24"/>
    <w:rsid w:val="00137737"/>
    <w:rsid w:val="001411B6"/>
    <w:rsid w:val="001432EA"/>
    <w:rsid w:val="00147A73"/>
    <w:rsid w:val="001511AF"/>
    <w:rsid w:val="00155092"/>
    <w:rsid w:val="00171C0F"/>
    <w:rsid w:val="0018151B"/>
    <w:rsid w:val="0018315D"/>
    <w:rsid w:val="00185503"/>
    <w:rsid w:val="001857FE"/>
    <w:rsid w:val="00185DD2"/>
    <w:rsid w:val="00190139"/>
    <w:rsid w:val="00196F1E"/>
    <w:rsid w:val="001A1F90"/>
    <w:rsid w:val="001B034C"/>
    <w:rsid w:val="001B67E4"/>
    <w:rsid w:val="001C0BF0"/>
    <w:rsid w:val="001C1B9E"/>
    <w:rsid w:val="001C7E48"/>
    <w:rsid w:val="001D149B"/>
    <w:rsid w:val="001D5AAD"/>
    <w:rsid w:val="001D7452"/>
    <w:rsid w:val="001D7CEE"/>
    <w:rsid w:val="001E095C"/>
    <w:rsid w:val="001E600D"/>
    <w:rsid w:val="001F1CA8"/>
    <w:rsid w:val="001F6FC9"/>
    <w:rsid w:val="002004F8"/>
    <w:rsid w:val="002013EF"/>
    <w:rsid w:val="002036C3"/>
    <w:rsid w:val="00203C81"/>
    <w:rsid w:val="00212A18"/>
    <w:rsid w:val="00231DED"/>
    <w:rsid w:val="002420BE"/>
    <w:rsid w:val="0024290B"/>
    <w:rsid w:val="002552AD"/>
    <w:rsid w:val="00270844"/>
    <w:rsid w:val="00284D12"/>
    <w:rsid w:val="00285EFC"/>
    <w:rsid w:val="0028695C"/>
    <w:rsid w:val="002877C9"/>
    <w:rsid w:val="00296ED2"/>
    <w:rsid w:val="002A1A36"/>
    <w:rsid w:val="002A1AD8"/>
    <w:rsid w:val="002A48E8"/>
    <w:rsid w:val="002A5346"/>
    <w:rsid w:val="002B04A1"/>
    <w:rsid w:val="002B25EE"/>
    <w:rsid w:val="002B2877"/>
    <w:rsid w:val="002B3181"/>
    <w:rsid w:val="002B4C69"/>
    <w:rsid w:val="002B625E"/>
    <w:rsid w:val="002B7C30"/>
    <w:rsid w:val="002C3002"/>
    <w:rsid w:val="002C3012"/>
    <w:rsid w:val="002D1AD3"/>
    <w:rsid w:val="002E3CCB"/>
    <w:rsid w:val="002E542E"/>
    <w:rsid w:val="002E5C50"/>
    <w:rsid w:val="002F1044"/>
    <w:rsid w:val="002F7709"/>
    <w:rsid w:val="00300B1D"/>
    <w:rsid w:val="0030171C"/>
    <w:rsid w:val="003071D5"/>
    <w:rsid w:val="003114A4"/>
    <w:rsid w:val="003116EE"/>
    <w:rsid w:val="00312A7D"/>
    <w:rsid w:val="0032069F"/>
    <w:rsid w:val="00324F9B"/>
    <w:rsid w:val="003265DF"/>
    <w:rsid w:val="00327966"/>
    <w:rsid w:val="00335191"/>
    <w:rsid w:val="00336CFA"/>
    <w:rsid w:val="00336D36"/>
    <w:rsid w:val="00342CDD"/>
    <w:rsid w:val="00346E88"/>
    <w:rsid w:val="00347198"/>
    <w:rsid w:val="00347F09"/>
    <w:rsid w:val="003608C7"/>
    <w:rsid w:val="003634A2"/>
    <w:rsid w:val="00363BEB"/>
    <w:rsid w:val="00363ED9"/>
    <w:rsid w:val="0036557D"/>
    <w:rsid w:val="00374761"/>
    <w:rsid w:val="003765E4"/>
    <w:rsid w:val="0038135F"/>
    <w:rsid w:val="0038412A"/>
    <w:rsid w:val="003856E8"/>
    <w:rsid w:val="00385A13"/>
    <w:rsid w:val="003873D0"/>
    <w:rsid w:val="00391962"/>
    <w:rsid w:val="00393C6C"/>
    <w:rsid w:val="003A1759"/>
    <w:rsid w:val="003A205C"/>
    <w:rsid w:val="003A2E56"/>
    <w:rsid w:val="003B5FCA"/>
    <w:rsid w:val="003C1229"/>
    <w:rsid w:val="003D07FE"/>
    <w:rsid w:val="003D08A0"/>
    <w:rsid w:val="003D1750"/>
    <w:rsid w:val="003D17DC"/>
    <w:rsid w:val="003D18E8"/>
    <w:rsid w:val="003D46DF"/>
    <w:rsid w:val="003F356F"/>
    <w:rsid w:val="003F51A8"/>
    <w:rsid w:val="00403CD9"/>
    <w:rsid w:val="00433A36"/>
    <w:rsid w:val="00434951"/>
    <w:rsid w:val="00437A20"/>
    <w:rsid w:val="00445C86"/>
    <w:rsid w:val="00451269"/>
    <w:rsid w:val="00457C0C"/>
    <w:rsid w:val="004629C5"/>
    <w:rsid w:val="00463A60"/>
    <w:rsid w:val="00467D9D"/>
    <w:rsid w:val="0047178D"/>
    <w:rsid w:val="00471CCB"/>
    <w:rsid w:val="00473A2D"/>
    <w:rsid w:val="0048105B"/>
    <w:rsid w:val="00481B7A"/>
    <w:rsid w:val="0048258B"/>
    <w:rsid w:val="004867E2"/>
    <w:rsid w:val="00492052"/>
    <w:rsid w:val="004A08AC"/>
    <w:rsid w:val="004A231D"/>
    <w:rsid w:val="004A7396"/>
    <w:rsid w:val="004B0840"/>
    <w:rsid w:val="004B22EE"/>
    <w:rsid w:val="004B5FFB"/>
    <w:rsid w:val="004C3D79"/>
    <w:rsid w:val="004E150C"/>
    <w:rsid w:val="004E353F"/>
    <w:rsid w:val="004E3CD0"/>
    <w:rsid w:val="004E4959"/>
    <w:rsid w:val="004E4E77"/>
    <w:rsid w:val="0050192D"/>
    <w:rsid w:val="0050313A"/>
    <w:rsid w:val="005035B7"/>
    <w:rsid w:val="00503F01"/>
    <w:rsid w:val="00505564"/>
    <w:rsid w:val="00524FE8"/>
    <w:rsid w:val="0052723F"/>
    <w:rsid w:val="00533425"/>
    <w:rsid w:val="00533ADF"/>
    <w:rsid w:val="005504D4"/>
    <w:rsid w:val="00554420"/>
    <w:rsid w:val="0055758B"/>
    <w:rsid w:val="005648F4"/>
    <w:rsid w:val="005654CA"/>
    <w:rsid w:val="00567596"/>
    <w:rsid w:val="00572CE9"/>
    <w:rsid w:val="0057544A"/>
    <w:rsid w:val="00582A24"/>
    <w:rsid w:val="00582A69"/>
    <w:rsid w:val="00582C38"/>
    <w:rsid w:val="00583003"/>
    <w:rsid w:val="00583C8B"/>
    <w:rsid w:val="00583CF4"/>
    <w:rsid w:val="00584114"/>
    <w:rsid w:val="005866B5"/>
    <w:rsid w:val="00590986"/>
    <w:rsid w:val="00591F95"/>
    <w:rsid w:val="005A091C"/>
    <w:rsid w:val="005A092C"/>
    <w:rsid w:val="005A3FE7"/>
    <w:rsid w:val="005A74E4"/>
    <w:rsid w:val="005B0681"/>
    <w:rsid w:val="005B137F"/>
    <w:rsid w:val="005B69F6"/>
    <w:rsid w:val="005B7139"/>
    <w:rsid w:val="005C071D"/>
    <w:rsid w:val="005C0AD5"/>
    <w:rsid w:val="005C0CED"/>
    <w:rsid w:val="005C4516"/>
    <w:rsid w:val="005C5BE5"/>
    <w:rsid w:val="005D4D4C"/>
    <w:rsid w:val="005D6C61"/>
    <w:rsid w:val="005E6561"/>
    <w:rsid w:val="005E73E1"/>
    <w:rsid w:val="005F0B6B"/>
    <w:rsid w:val="005F0BD9"/>
    <w:rsid w:val="005F0E23"/>
    <w:rsid w:val="005F1267"/>
    <w:rsid w:val="006010CE"/>
    <w:rsid w:val="00605143"/>
    <w:rsid w:val="00614151"/>
    <w:rsid w:val="00615297"/>
    <w:rsid w:val="006203BC"/>
    <w:rsid w:val="00620A5A"/>
    <w:rsid w:val="006303F9"/>
    <w:rsid w:val="006306B2"/>
    <w:rsid w:val="00631B3C"/>
    <w:rsid w:val="00632FDA"/>
    <w:rsid w:val="006370DB"/>
    <w:rsid w:val="00637A5D"/>
    <w:rsid w:val="00642A92"/>
    <w:rsid w:val="006524B3"/>
    <w:rsid w:val="00653FB9"/>
    <w:rsid w:val="006577BA"/>
    <w:rsid w:val="00657B92"/>
    <w:rsid w:val="00657E28"/>
    <w:rsid w:val="006626D2"/>
    <w:rsid w:val="00663504"/>
    <w:rsid w:val="00673EF5"/>
    <w:rsid w:val="006802B1"/>
    <w:rsid w:val="00682C89"/>
    <w:rsid w:val="00685C79"/>
    <w:rsid w:val="00692452"/>
    <w:rsid w:val="00692678"/>
    <w:rsid w:val="00696B8F"/>
    <w:rsid w:val="006A1071"/>
    <w:rsid w:val="006A28E6"/>
    <w:rsid w:val="006A4071"/>
    <w:rsid w:val="006B391A"/>
    <w:rsid w:val="006C3F25"/>
    <w:rsid w:val="006C3F94"/>
    <w:rsid w:val="006D051F"/>
    <w:rsid w:val="006D4320"/>
    <w:rsid w:val="006D754A"/>
    <w:rsid w:val="006F6F0A"/>
    <w:rsid w:val="00703691"/>
    <w:rsid w:val="0070372E"/>
    <w:rsid w:val="00703FF1"/>
    <w:rsid w:val="007108A1"/>
    <w:rsid w:val="00710EF9"/>
    <w:rsid w:val="00716190"/>
    <w:rsid w:val="0071760A"/>
    <w:rsid w:val="0072048C"/>
    <w:rsid w:val="00730184"/>
    <w:rsid w:val="00745EA3"/>
    <w:rsid w:val="007532E3"/>
    <w:rsid w:val="00753994"/>
    <w:rsid w:val="00760089"/>
    <w:rsid w:val="00762CA0"/>
    <w:rsid w:val="00766187"/>
    <w:rsid w:val="00772531"/>
    <w:rsid w:val="00775262"/>
    <w:rsid w:val="00775739"/>
    <w:rsid w:val="00776786"/>
    <w:rsid w:val="007817D6"/>
    <w:rsid w:val="00782697"/>
    <w:rsid w:val="00790B40"/>
    <w:rsid w:val="007931ED"/>
    <w:rsid w:val="0079702A"/>
    <w:rsid w:val="007A6A23"/>
    <w:rsid w:val="007A7951"/>
    <w:rsid w:val="007D3542"/>
    <w:rsid w:val="007D3C94"/>
    <w:rsid w:val="007D7E48"/>
    <w:rsid w:val="007E0E26"/>
    <w:rsid w:val="007E14BB"/>
    <w:rsid w:val="007E7B5F"/>
    <w:rsid w:val="007F0007"/>
    <w:rsid w:val="007F273E"/>
    <w:rsid w:val="007F5F8F"/>
    <w:rsid w:val="008010A8"/>
    <w:rsid w:val="008025DA"/>
    <w:rsid w:val="00802817"/>
    <w:rsid w:val="0080376D"/>
    <w:rsid w:val="00805876"/>
    <w:rsid w:val="00805967"/>
    <w:rsid w:val="00805CA7"/>
    <w:rsid w:val="00811EC8"/>
    <w:rsid w:val="00821C1E"/>
    <w:rsid w:val="00823701"/>
    <w:rsid w:val="0083509A"/>
    <w:rsid w:val="00843DDB"/>
    <w:rsid w:val="008520EA"/>
    <w:rsid w:val="008544EC"/>
    <w:rsid w:val="00854C01"/>
    <w:rsid w:val="00856E40"/>
    <w:rsid w:val="00860105"/>
    <w:rsid w:val="00861B75"/>
    <w:rsid w:val="00861E22"/>
    <w:rsid w:val="00866D4C"/>
    <w:rsid w:val="008725D4"/>
    <w:rsid w:val="008776E5"/>
    <w:rsid w:val="00890A9A"/>
    <w:rsid w:val="008A0D49"/>
    <w:rsid w:val="008A23E9"/>
    <w:rsid w:val="008B0C92"/>
    <w:rsid w:val="008B1238"/>
    <w:rsid w:val="008C25E4"/>
    <w:rsid w:val="008C50A1"/>
    <w:rsid w:val="008C51FC"/>
    <w:rsid w:val="008D361E"/>
    <w:rsid w:val="008D6ED8"/>
    <w:rsid w:val="008E1253"/>
    <w:rsid w:val="008E1877"/>
    <w:rsid w:val="008E1A07"/>
    <w:rsid w:val="008F56A7"/>
    <w:rsid w:val="008F6D2C"/>
    <w:rsid w:val="0090336F"/>
    <w:rsid w:val="00906D1D"/>
    <w:rsid w:val="00906D98"/>
    <w:rsid w:val="0090766E"/>
    <w:rsid w:val="009127D7"/>
    <w:rsid w:val="00917912"/>
    <w:rsid w:val="00925ECD"/>
    <w:rsid w:val="00930417"/>
    <w:rsid w:val="0093069F"/>
    <w:rsid w:val="00933A26"/>
    <w:rsid w:val="0094067C"/>
    <w:rsid w:val="0094246C"/>
    <w:rsid w:val="009503AC"/>
    <w:rsid w:val="00960DC8"/>
    <w:rsid w:val="009617E8"/>
    <w:rsid w:val="0096349C"/>
    <w:rsid w:val="00964D0F"/>
    <w:rsid w:val="0096580D"/>
    <w:rsid w:val="00970EF7"/>
    <w:rsid w:val="00972482"/>
    <w:rsid w:val="00973101"/>
    <w:rsid w:val="009741A9"/>
    <w:rsid w:val="009766EA"/>
    <w:rsid w:val="00976E15"/>
    <w:rsid w:val="009875C8"/>
    <w:rsid w:val="00991E1A"/>
    <w:rsid w:val="00997B8F"/>
    <w:rsid w:val="009A21F5"/>
    <w:rsid w:val="009A23A3"/>
    <w:rsid w:val="009A6F7A"/>
    <w:rsid w:val="009B2AA5"/>
    <w:rsid w:val="009C28E3"/>
    <w:rsid w:val="009C2CBA"/>
    <w:rsid w:val="009C728B"/>
    <w:rsid w:val="009D0F2C"/>
    <w:rsid w:val="009D3981"/>
    <w:rsid w:val="009D3DC4"/>
    <w:rsid w:val="009E035A"/>
    <w:rsid w:val="009E053B"/>
    <w:rsid w:val="009E69CF"/>
    <w:rsid w:val="009F2E7A"/>
    <w:rsid w:val="009F31B1"/>
    <w:rsid w:val="009F4470"/>
    <w:rsid w:val="00A03238"/>
    <w:rsid w:val="00A12E2D"/>
    <w:rsid w:val="00A203E7"/>
    <w:rsid w:val="00A213A8"/>
    <w:rsid w:val="00A308A5"/>
    <w:rsid w:val="00A3406A"/>
    <w:rsid w:val="00A40D1D"/>
    <w:rsid w:val="00A463BE"/>
    <w:rsid w:val="00A55601"/>
    <w:rsid w:val="00A57B7D"/>
    <w:rsid w:val="00A620BA"/>
    <w:rsid w:val="00A62415"/>
    <w:rsid w:val="00A646D5"/>
    <w:rsid w:val="00A66FC8"/>
    <w:rsid w:val="00A84904"/>
    <w:rsid w:val="00A85485"/>
    <w:rsid w:val="00A9125F"/>
    <w:rsid w:val="00A91ACA"/>
    <w:rsid w:val="00A9487F"/>
    <w:rsid w:val="00A953E2"/>
    <w:rsid w:val="00AA43FE"/>
    <w:rsid w:val="00AB3B89"/>
    <w:rsid w:val="00AC46E8"/>
    <w:rsid w:val="00AC5857"/>
    <w:rsid w:val="00AD1754"/>
    <w:rsid w:val="00AD3E65"/>
    <w:rsid w:val="00AE2F42"/>
    <w:rsid w:val="00AE483C"/>
    <w:rsid w:val="00AF1514"/>
    <w:rsid w:val="00AF1A75"/>
    <w:rsid w:val="00AF3A26"/>
    <w:rsid w:val="00AF6252"/>
    <w:rsid w:val="00AF7E48"/>
    <w:rsid w:val="00B02BE6"/>
    <w:rsid w:val="00B06724"/>
    <w:rsid w:val="00B14A5D"/>
    <w:rsid w:val="00B165D6"/>
    <w:rsid w:val="00B258EF"/>
    <w:rsid w:val="00B25E0E"/>
    <w:rsid w:val="00B3056A"/>
    <w:rsid w:val="00B321C9"/>
    <w:rsid w:val="00B34376"/>
    <w:rsid w:val="00B45DF0"/>
    <w:rsid w:val="00B4682B"/>
    <w:rsid w:val="00B47C65"/>
    <w:rsid w:val="00B50D1E"/>
    <w:rsid w:val="00B52751"/>
    <w:rsid w:val="00B54817"/>
    <w:rsid w:val="00B55190"/>
    <w:rsid w:val="00B61AE6"/>
    <w:rsid w:val="00B73B4D"/>
    <w:rsid w:val="00B7545B"/>
    <w:rsid w:val="00B77241"/>
    <w:rsid w:val="00B861C9"/>
    <w:rsid w:val="00B878CA"/>
    <w:rsid w:val="00B931CF"/>
    <w:rsid w:val="00BA2A39"/>
    <w:rsid w:val="00BA4012"/>
    <w:rsid w:val="00BA6357"/>
    <w:rsid w:val="00BA7F26"/>
    <w:rsid w:val="00BB76BF"/>
    <w:rsid w:val="00BC0E36"/>
    <w:rsid w:val="00BC1F61"/>
    <w:rsid w:val="00BC33E5"/>
    <w:rsid w:val="00BD06AF"/>
    <w:rsid w:val="00BD2298"/>
    <w:rsid w:val="00BD32F3"/>
    <w:rsid w:val="00BD6F69"/>
    <w:rsid w:val="00BE1683"/>
    <w:rsid w:val="00BE3611"/>
    <w:rsid w:val="00BE52E9"/>
    <w:rsid w:val="00BF1DFB"/>
    <w:rsid w:val="00BF2FEA"/>
    <w:rsid w:val="00BF387C"/>
    <w:rsid w:val="00BF75C1"/>
    <w:rsid w:val="00C009BC"/>
    <w:rsid w:val="00C00EAF"/>
    <w:rsid w:val="00C0121C"/>
    <w:rsid w:val="00C02463"/>
    <w:rsid w:val="00C04091"/>
    <w:rsid w:val="00C07C04"/>
    <w:rsid w:val="00C10B85"/>
    <w:rsid w:val="00C26535"/>
    <w:rsid w:val="00C26EE0"/>
    <w:rsid w:val="00C32603"/>
    <w:rsid w:val="00C32E66"/>
    <w:rsid w:val="00C4024D"/>
    <w:rsid w:val="00C40F1C"/>
    <w:rsid w:val="00C45698"/>
    <w:rsid w:val="00C466C3"/>
    <w:rsid w:val="00C46A0B"/>
    <w:rsid w:val="00C479E6"/>
    <w:rsid w:val="00C525B7"/>
    <w:rsid w:val="00C53635"/>
    <w:rsid w:val="00C54483"/>
    <w:rsid w:val="00C6400D"/>
    <w:rsid w:val="00C70055"/>
    <w:rsid w:val="00C70699"/>
    <w:rsid w:val="00C71451"/>
    <w:rsid w:val="00C72A70"/>
    <w:rsid w:val="00C72ECB"/>
    <w:rsid w:val="00C740AB"/>
    <w:rsid w:val="00C775C4"/>
    <w:rsid w:val="00C806C7"/>
    <w:rsid w:val="00C85102"/>
    <w:rsid w:val="00C9192C"/>
    <w:rsid w:val="00C951FB"/>
    <w:rsid w:val="00CA30C2"/>
    <w:rsid w:val="00CA3C83"/>
    <w:rsid w:val="00CB6715"/>
    <w:rsid w:val="00CC3885"/>
    <w:rsid w:val="00CD1A21"/>
    <w:rsid w:val="00CE00AA"/>
    <w:rsid w:val="00CE17AC"/>
    <w:rsid w:val="00CE1998"/>
    <w:rsid w:val="00CE6D50"/>
    <w:rsid w:val="00CF509B"/>
    <w:rsid w:val="00D025FF"/>
    <w:rsid w:val="00D030EF"/>
    <w:rsid w:val="00D040AD"/>
    <w:rsid w:val="00D136FA"/>
    <w:rsid w:val="00D16F8F"/>
    <w:rsid w:val="00D17F9A"/>
    <w:rsid w:val="00D20B0A"/>
    <w:rsid w:val="00D20D9E"/>
    <w:rsid w:val="00D2691C"/>
    <w:rsid w:val="00D31672"/>
    <w:rsid w:val="00D317C6"/>
    <w:rsid w:val="00D35397"/>
    <w:rsid w:val="00D36BFC"/>
    <w:rsid w:val="00D44171"/>
    <w:rsid w:val="00D47BF5"/>
    <w:rsid w:val="00D5091F"/>
    <w:rsid w:val="00D631B0"/>
    <w:rsid w:val="00D647A4"/>
    <w:rsid w:val="00D71203"/>
    <w:rsid w:val="00D85368"/>
    <w:rsid w:val="00D85E93"/>
    <w:rsid w:val="00D87302"/>
    <w:rsid w:val="00D91743"/>
    <w:rsid w:val="00D92212"/>
    <w:rsid w:val="00D92D91"/>
    <w:rsid w:val="00D93A59"/>
    <w:rsid w:val="00DA0836"/>
    <w:rsid w:val="00DA1246"/>
    <w:rsid w:val="00DA1FBB"/>
    <w:rsid w:val="00DA244E"/>
    <w:rsid w:val="00DA7E22"/>
    <w:rsid w:val="00DB6788"/>
    <w:rsid w:val="00DC24FF"/>
    <w:rsid w:val="00DC2AF9"/>
    <w:rsid w:val="00DC6BC1"/>
    <w:rsid w:val="00DD4964"/>
    <w:rsid w:val="00DD5017"/>
    <w:rsid w:val="00DD526B"/>
    <w:rsid w:val="00DD59F8"/>
    <w:rsid w:val="00DD69E1"/>
    <w:rsid w:val="00DE2A45"/>
    <w:rsid w:val="00DE5981"/>
    <w:rsid w:val="00DE5F07"/>
    <w:rsid w:val="00DF1665"/>
    <w:rsid w:val="00DF44C4"/>
    <w:rsid w:val="00DF560A"/>
    <w:rsid w:val="00DF763F"/>
    <w:rsid w:val="00DF7682"/>
    <w:rsid w:val="00E0044E"/>
    <w:rsid w:val="00E025C5"/>
    <w:rsid w:val="00E07DE4"/>
    <w:rsid w:val="00E12988"/>
    <w:rsid w:val="00E21859"/>
    <w:rsid w:val="00E22916"/>
    <w:rsid w:val="00E22E90"/>
    <w:rsid w:val="00E30F26"/>
    <w:rsid w:val="00E3271F"/>
    <w:rsid w:val="00E37D02"/>
    <w:rsid w:val="00E41F71"/>
    <w:rsid w:val="00E42718"/>
    <w:rsid w:val="00E476C8"/>
    <w:rsid w:val="00E74ACE"/>
    <w:rsid w:val="00E74C96"/>
    <w:rsid w:val="00E75265"/>
    <w:rsid w:val="00E779AE"/>
    <w:rsid w:val="00E81420"/>
    <w:rsid w:val="00E82860"/>
    <w:rsid w:val="00E84DAE"/>
    <w:rsid w:val="00E87EEF"/>
    <w:rsid w:val="00EA2B18"/>
    <w:rsid w:val="00EA74CF"/>
    <w:rsid w:val="00EB4B5F"/>
    <w:rsid w:val="00EB677B"/>
    <w:rsid w:val="00EC16EC"/>
    <w:rsid w:val="00EC30A2"/>
    <w:rsid w:val="00EC4046"/>
    <w:rsid w:val="00EC5800"/>
    <w:rsid w:val="00EC5D8A"/>
    <w:rsid w:val="00ED2DF2"/>
    <w:rsid w:val="00ED5FF4"/>
    <w:rsid w:val="00ED690E"/>
    <w:rsid w:val="00EF1C7A"/>
    <w:rsid w:val="00EF7D7F"/>
    <w:rsid w:val="00F00206"/>
    <w:rsid w:val="00F10CCF"/>
    <w:rsid w:val="00F16B6D"/>
    <w:rsid w:val="00F20979"/>
    <w:rsid w:val="00F2311B"/>
    <w:rsid w:val="00F31EB4"/>
    <w:rsid w:val="00F33B3F"/>
    <w:rsid w:val="00F34A70"/>
    <w:rsid w:val="00F3753B"/>
    <w:rsid w:val="00F43AE6"/>
    <w:rsid w:val="00F43F8B"/>
    <w:rsid w:val="00F45EB3"/>
    <w:rsid w:val="00F5325F"/>
    <w:rsid w:val="00F55B9D"/>
    <w:rsid w:val="00F577C0"/>
    <w:rsid w:val="00F57AB5"/>
    <w:rsid w:val="00F60B79"/>
    <w:rsid w:val="00F63E35"/>
    <w:rsid w:val="00F643E7"/>
    <w:rsid w:val="00F6712F"/>
    <w:rsid w:val="00F75654"/>
    <w:rsid w:val="00F8003F"/>
    <w:rsid w:val="00F909B5"/>
    <w:rsid w:val="00FA41B8"/>
    <w:rsid w:val="00FA4A21"/>
    <w:rsid w:val="00FA7C2E"/>
    <w:rsid w:val="00FB396D"/>
    <w:rsid w:val="00FB405C"/>
    <w:rsid w:val="00FC3296"/>
    <w:rsid w:val="00FC6B67"/>
    <w:rsid w:val="00FD484B"/>
    <w:rsid w:val="00FE01B9"/>
    <w:rsid w:val="00FE036D"/>
    <w:rsid w:val="00FE3D77"/>
    <w:rsid w:val="00FE60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4"/>
    <w:pPr>
      <w:spacing w:after="0"/>
    </w:pPr>
    <w:rPr>
      <w:rFonts w:ascii="Times New Roman" w:hAnsi="Times New Roman"/>
      <w:sz w:val="24"/>
      <w:lang w:val="nb-NO"/>
    </w:rPr>
  </w:style>
  <w:style w:type="paragraph" w:styleId="Heading1">
    <w:name w:val="heading 1"/>
    <w:basedOn w:val="Normal"/>
    <w:next w:val="Normal"/>
    <w:link w:val="Heading1Char"/>
    <w:uiPriority w:val="9"/>
    <w:qFormat/>
    <w:rsid w:val="00DD4964"/>
    <w:pPr>
      <w:keepNext/>
      <w:keepLines/>
      <w:spacing w:before="480" w:after="12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64"/>
    <w:rPr>
      <w:rFonts w:ascii="Times New Roman" w:eastAsiaTheme="majorEastAsia" w:hAnsi="Times New Roman" w:cstheme="majorBidi"/>
      <w:b/>
      <w:bCs/>
      <w:sz w:val="24"/>
      <w:szCs w:val="28"/>
      <w:lang w:val="nb-NO"/>
    </w:rPr>
  </w:style>
  <w:style w:type="table" w:styleId="TableGrid">
    <w:name w:val="Table Grid"/>
    <w:basedOn w:val="TableNormal"/>
    <w:uiPriority w:val="59"/>
    <w:rsid w:val="00DD4964"/>
    <w:pPr>
      <w:spacing w:after="0" w:line="240" w:lineRule="auto"/>
    </w:pPr>
    <w:rPr>
      <w:rFonts w:ascii="Times New Roman" w:hAnsi="Times New Roman"/>
      <w:sz w:val="24"/>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964"/>
    <w:pPr>
      <w:ind w:left="720"/>
      <w:contextualSpacing/>
    </w:pPr>
  </w:style>
  <w:style w:type="character" w:styleId="Hyperlink">
    <w:name w:val="Hyperlink"/>
    <w:basedOn w:val="DefaultParagraphFont"/>
    <w:uiPriority w:val="99"/>
    <w:unhideWhenUsed/>
    <w:rsid w:val="003114A4"/>
    <w:rPr>
      <w:color w:val="0000FF"/>
      <w:u w:val="single"/>
    </w:rPr>
  </w:style>
  <w:style w:type="paragraph" w:customStyle="1" w:styleId="Default">
    <w:name w:val="Default"/>
    <w:basedOn w:val="Normal"/>
    <w:uiPriority w:val="99"/>
    <w:rsid w:val="003114A4"/>
    <w:pPr>
      <w:autoSpaceDE w:val="0"/>
      <w:autoSpaceDN w:val="0"/>
      <w:spacing w:line="240" w:lineRule="auto"/>
    </w:pPr>
    <w:rPr>
      <w:rFonts w:ascii="Verdana" w:hAnsi="Verdana" w:cs="Times New Roman"/>
      <w:color w:val="000000"/>
      <w:szCs w:val="24"/>
      <w:lang w:val="en-AU" w:eastAsia="en-AU"/>
    </w:rPr>
  </w:style>
  <w:style w:type="character" w:styleId="Strong">
    <w:name w:val="Strong"/>
    <w:basedOn w:val="DefaultParagraphFont"/>
    <w:uiPriority w:val="22"/>
    <w:qFormat/>
    <w:rsid w:val="003114A4"/>
    <w:rPr>
      <w:b/>
      <w:bCs/>
    </w:rPr>
  </w:style>
  <w:style w:type="character" w:styleId="CommentReference">
    <w:name w:val="annotation reference"/>
    <w:basedOn w:val="DefaultParagraphFont"/>
    <w:uiPriority w:val="99"/>
    <w:semiHidden/>
    <w:unhideWhenUsed/>
    <w:rsid w:val="00B931CF"/>
    <w:rPr>
      <w:sz w:val="16"/>
      <w:szCs w:val="16"/>
    </w:rPr>
  </w:style>
  <w:style w:type="paragraph" w:styleId="CommentText">
    <w:name w:val="annotation text"/>
    <w:basedOn w:val="Normal"/>
    <w:link w:val="CommentTextChar"/>
    <w:uiPriority w:val="99"/>
    <w:semiHidden/>
    <w:unhideWhenUsed/>
    <w:rsid w:val="00B931CF"/>
    <w:pPr>
      <w:spacing w:line="240" w:lineRule="auto"/>
    </w:pPr>
    <w:rPr>
      <w:sz w:val="20"/>
      <w:szCs w:val="20"/>
    </w:rPr>
  </w:style>
  <w:style w:type="character" w:customStyle="1" w:styleId="CommentTextChar">
    <w:name w:val="Comment Text Char"/>
    <w:basedOn w:val="DefaultParagraphFont"/>
    <w:link w:val="CommentText"/>
    <w:uiPriority w:val="99"/>
    <w:semiHidden/>
    <w:rsid w:val="00B931CF"/>
    <w:rPr>
      <w:rFonts w:ascii="Times New Roman" w:hAnsi="Times New Roman"/>
      <w:sz w:val="20"/>
      <w:szCs w:val="20"/>
      <w:lang w:val="nb-NO"/>
    </w:rPr>
  </w:style>
  <w:style w:type="paragraph" w:styleId="CommentSubject">
    <w:name w:val="annotation subject"/>
    <w:basedOn w:val="CommentText"/>
    <w:next w:val="CommentText"/>
    <w:link w:val="CommentSubjectChar"/>
    <w:uiPriority w:val="99"/>
    <w:semiHidden/>
    <w:unhideWhenUsed/>
    <w:rsid w:val="00B931CF"/>
    <w:rPr>
      <w:b/>
      <w:bCs/>
    </w:rPr>
  </w:style>
  <w:style w:type="character" w:customStyle="1" w:styleId="CommentSubjectChar">
    <w:name w:val="Comment Subject Char"/>
    <w:basedOn w:val="CommentTextChar"/>
    <w:link w:val="CommentSubject"/>
    <w:uiPriority w:val="99"/>
    <w:semiHidden/>
    <w:rsid w:val="00B931CF"/>
    <w:rPr>
      <w:rFonts w:ascii="Times New Roman" w:hAnsi="Times New Roman"/>
      <w:b/>
      <w:bCs/>
      <w:sz w:val="20"/>
      <w:szCs w:val="20"/>
      <w:lang w:val="nb-NO"/>
    </w:rPr>
  </w:style>
  <w:style w:type="paragraph" w:styleId="BalloonText">
    <w:name w:val="Balloon Text"/>
    <w:basedOn w:val="Normal"/>
    <w:link w:val="BalloonTextChar"/>
    <w:uiPriority w:val="99"/>
    <w:semiHidden/>
    <w:unhideWhenUsed/>
    <w:rsid w:val="00B93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CF"/>
    <w:rPr>
      <w:rFonts w:ascii="Tahoma" w:hAnsi="Tahoma" w:cs="Tahoma"/>
      <w:sz w:val="16"/>
      <w:szCs w:val="16"/>
      <w:lang w:val="nb-NO"/>
    </w:rPr>
  </w:style>
  <w:style w:type="paragraph" w:styleId="Header">
    <w:name w:val="header"/>
    <w:basedOn w:val="Normal"/>
    <w:link w:val="HeaderChar"/>
    <w:uiPriority w:val="99"/>
    <w:semiHidden/>
    <w:unhideWhenUsed/>
    <w:rsid w:val="00C2653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26535"/>
    <w:rPr>
      <w:rFonts w:ascii="Times New Roman" w:hAnsi="Times New Roman"/>
      <w:sz w:val="24"/>
      <w:lang w:val="nb-NO"/>
    </w:rPr>
  </w:style>
  <w:style w:type="paragraph" w:styleId="Footer">
    <w:name w:val="footer"/>
    <w:basedOn w:val="Normal"/>
    <w:link w:val="FooterChar"/>
    <w:uiPriority w:val="99"/>
    <w:semiHidden/>
    <w:unhideWhenUsed/>
    <w:rsid w:val="00C2653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26535"/>
    <w:rPr>
      <w:rFonts w:ascii="Times New Roman" w:hAnsi="Times New Roman"/>
      <w:sz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4"/>
    <w:pPr>
      <w:spacing w:after="0"/>
    </w:pPr>
    <w:rPr>
      <w:rFonts w:ascii="Times New Roman" w:hAnsi="Times New Roman"/>
      <w:sz w:val="24"/>
      <w:lang w:val="nb-NO"/>
    </w:rPr>
  </w:style>
  <w:style w:type="paragraph" w:styleId="Heading1">
    <w:name w:val="heading 1"/>
    <w:basedOn w:val="Normal"/>
    <w:next w:val="Normal"/>
    <w:link w:val="Heading1Char"/>
    <w:uiPriority w:val="9"/>
    <w:qFormat/>
    <w:rsid w:val="00DD4964"/>
    <w:pPr>
      <w:keepNext/>
      <w:keepLines/>
      <w:spacing w:before="480" w:after="12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64"/>
    <w:rPr>
      <w:rFonts w:ascii="Times New Roman" w:eastAsiaTheme="majorEastAsia" w:hAnsi="Times New Roman" w:cstheme="majorBidi"/>
      <w:b/>
      <w:bCs/>
      <w:sz w:val="24"/>
      <w:szCs w:val="28"/>
      <w:lang w:val="nb-NO"/>
    </w:rPr>
  </w:style>
  <w:style w:type="table" w:styleId="TableGrid">
    <w:name w:val="Table Grid"/>
    <w:basedOn w:val="TableNormal"/>
    <w:uiPriority w:val="59"/>
    <w:rsid w:val="00DD4964"/>
    <w:pPr>
      <w:spacing w:after="0" w:line="240" w:lineRule="auto"/>
    </w:pPr>
    <w:rPr>
      <w:rFonts w:ascii="Times New Roman" w:hAnsi="Times New Roman"/>
      <w:sz w:val="24"/>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964"/>
    <w:pPr>
      <w:ind w:left="720"/>
      <w:contextualSpacing/>
    </w:pPr>
  </w:style>
  <w:style w:type="character" w:styleId="Hyperlink">
    <w:name w:val="Hyperlink"/>
    <w:basedOn w:val="DefaultParagraphFont"/>
    <w:uiPriority w:val="99"/>
    <w:unhideWhenUsed/>
    <w:rsid w:val="003114A4"/>
    <w:rPr>
      <w:color w:val="0000FF"/>
      <w:u w:val="single"/>
    </w:rPr>
  </w:style>
  <w:style w:type="paragraph" w:customStyle="1" w:styleId="Default">
    <w:name w:val="Default"/>
    <w:basedOn w:val="Normal"/>
    <w:uiPriority w:val="99"/>
    <w:rsid w:val="003114A4"/>
    <w:pPr>
      <w:autoSpaceDE w:val="0"/>
      <w:autoSpaceDN w:val="0"/>
      <w:spacing w:line="240" w:lineRule="auto"/>
    </w:pPr>
    <w:rPr>
      <w:rFonts w:ascii="Verdana" w:hAnsi="Verdana" w:cs="Times New Roman"/>
      <w:color w:val="000000"/>
      <w:szCs w:val="24"/>
      <w:lang w:val="en-AU" w:eastAsia="en-AU"/>
    </w:rPr>
  </w:style>
  <w:style w:type="character" w:styleId="Strong">
    <w:name w:val="Strong"/>
    <w:basedOn w:val="DefaultParagraphFont"/>
    <w:uiPriority w:val="22"/>
    <w:qFormat/>
    <w:rsid w:val="003114A4"/>
    <w:rPr>
      <w:b/>
      <w:bCs/>
    </w:rPr>
  </w:style>
  <w:style w:type="character" w:styleId="CommentReference">
    <w:name w:val="annotation reference"/>
    <w:basedOn w:val="DefaultParagraphFont"/>
    <w:uiPriority w:val="99"/>
    <w:semiHidden/>
    <w:unhideWhenUsed/>
    <w:rsid w:val="00B931CF"/>
    <w:rPr>
      <w:sz w:val="16"/>
      <w:szCs w:val="16"/>
    </w:rPr>
  </w:style>
  <w:style w:type="paragraph" w:styleId="CommentText">
    <w:name w:val="annotation text"/>
    <w:basedOn w:val="Normal"/>
    <w:link w:val="CommentTextChar"/>
    <w:uiPriority w:val="99"/>
    <w:semiHidden/>
    <w:unhideWhenUsed/>
    <w:rsid w:val="00B931CF"/>
    <w:pPr>
      <w:spacing w:line="240" w:lineRule="auto"/>
    </w:pPr>
    <w:rPr>
      <w:sz w:val="20"/>
      <w:szCs w:val="20"/>
    </w:rPr>
  </w:style>
  <w:style w:type="character" w:customStyle="1" w:styleId="CommentTextChar">
    <w:name w:val="Comment Text Char"/>
    <w:basedOn w:val="DefaultParagraphFont"/>
    <w:link w:val="CommentText"/>
    <w:uiPriority w:val="99"/>
    <w:semiHidden/>
    <w:rsid w:val="00B931CF"/>
    <w:rPr>
      <w:rFonts w:ascii="Times New Roman" w:hAnsi="Times New Roman"/>
      <w:sz w:val="20"/>
      <w:szCs w:val="20"/>
      <w:lang w:val="nb-NO"/>
    </w:rPr>
  </w:style>
  <w:style w:type="paragraph" w:styleId="CommentSubject">
    <w:name w:val="annotation subject"/>
    <w:basedOn w:val="CommentText"/>
    <w:next w:val="CommentText"/>
    <w:link w:val="CommentSubjectChar"/>
    <w:uiPriority w:val="99"/>
    <w:semiHidden/>
    <w:unhideWhenUsed/>
    <w:rsid w:val="00B931CF"/>
    <w:rPr>
      <w:b/>
      <w:bCs/>
    </w:rPr>
  </w:style>
  <w:style w:type="character" w:customStyle="1" w:styleId="CommentSubjectChar">
    <w:name w:val="Comment Subject Char"/>
    <w:basedOn w:val="CommentTextChar"/>
    <w:link w:val="CommentSubject"/>
    <w:uiPriority w:val="99"/>
    <w:semiHidden/>
    <w:rsid w:val="00B931CF"/>
    <w:rPr>
      <w:rFonts w:ascii="Times New Roman" w:hAnsi="Times New Roman"/>
      <w:b/>
      <w:bCs/>
      <w:sz w:val="20"/>
      <w:szCs w:val="20"/>
      <w:lang w:val="nb-NO"/>
    </w:rPr>
  </w:style>
  <w:style w:type="paragraph" w:styleId="BalloonText">
    <w:name w:val="Balloon Text"/>
    <w:basedOn w:val="Normal"/>
    <w:link w:val="BalloonTextChar"/>
    <w:uiPriority w:val="99"/>
    <w:semiHidden/>
    <w:unhideWhenUsed/>
    <w:rsid w:val="00B93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CF"/>
    <w:rPr>
      <w:rFonts w:ascii="Tahoma" w:hAnsi="Tahoma" w:cs="Tahoma"/>
      <w:sz w:val="16"/>
      <w:szCs w:val="16"/>
      <w:lang w:val="nb-NO"/>
    </w:rPr>
  </w:style>
</w:styles>
</file>

<file path=word/webSettings.xml><?xml version="1.0" encoding="utf-8"?>
<w:webSettings xmlns:r="http://schemas.openxmlformats.org/officeDocument/2006/relationships" xmlns:w="http://schemas.openxmlformats.org/wordprocessingml/2006/main">
  <w:divs>
    <w:div w:id="187063270">
      <w:bodyDiv w:val="1"/>
      <w:marLeft w:val="0"/>
      <w:marRight w:val="0"/>
      <w:marTop w:val="0"/>
      <w:marBottom w:val="0"/>
      <w:divBdr>
        <w:top w:val="none" w:sz="0" w:space="0" w:color="auto"/>
        <w:left w:val="none" w:sz="0" w:space="0" w:color="auto"/>
        <w:bottom w:val="none" w:sz="0" w:space="0" w:color="auto"/>
        <w:right w:val="none" w:sz="0" w:space="0" w:color="auto"/>
      </w:divBdr>
    </w:div>
    <w:div w:id="8662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abilitycentre.lshtm.ac.uk/files/2014/07/Costs-of-Exclusion-and-Gains-of-Inclusion-Report.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A8BB-7CEB-4D69-9CFE-E289D3BF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splumridge</dc:creator>
  <cp:lastModifiedBy>splumridge</cp:lastModifiedBy>
  <cp:revision>3</cp:revision>
  <cp:lastPrinted>2015-02-27T03:51:00Z</cp:lastPrinted>
  <dcterms:created xsi:type="dcterms:W3CDTF">2015-02-27T04:24:00Z</dcterms:created>
  <dcterms:modified xsi:type="dcterms:W3CDTF">2015-02-27T04:37:00Z</dcterms:modified>
</cp:coreProperties>
</file>