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42D9E" w14:textId="77777777" w:rsidR="002E1514" w:rsidRDefault="002E1514" w:rsidP="0062254B">
      <w:pPr>
        <w:tabs>
          <w:tab w:val="left" w:pos="6750"/>
          <w:tab w:val="left" w:pos="11625"/>
        </w:tabs>
        <w:spacing w:after="0"/>
        <w:ind w:left="34" w:right="33" w:firstLine="34"/>
        <w:jc w:val="center"/>
        <w:rPr>
          <w:rFonts w:cs="Arial"/>
          <w:b/>
          <w:sz w:val="28"/>
          <w:szCs w:val="28"/>
          <w:lang w:val="en-US"/>
        </w:rPr>
      </w:pPr>
    </w:p>
    <w:p w14:paraId="231CED4E" w14:textId="43DCAF76" w:rsidR="0062254B" w:rsidRPr="007B0C54" w:rsidRDefault="0062254B" w:rsidP="00A84A0D">
      <w:pPr>
        <w:pStyle w:val="Title"/>
        <w:jc w:val="center"/>
        <w:rPr>
          <w:lang w:val="en-US"/>
        </w:rPr>
      </w:pPr>
      <w:r w:rsidRPr="007B0C54">
        <w:rPr>
          <w:lang w:val="en-US"/>
        </w:rPr>
        <w:t>Australian Disability &amp; Development Consortium (ADDC)</w:t>
      </w:r>
    </w:p>
    <w:p w14:paraId="27C8976A" w14:textId="77777777" w:rsidR="0062254B" w:rsidRPr="007B0C54" w:rsidRDefault="0062254B" w:rsidP="00A84A0D">
      <w:pPr>
        <w:pStyle w:val="Title"/>
        <w:jc w:val="center"/>
        <w:rPr>
          <w:sz w:val="24"/>
          <w:szCs w:val="24"/>
        </w:rPr>
      </w:pPr>
      <w:r w:rsidRPr="007B0C54">
        <w:rPr>
          <w:lang w:val="en-US"/>
        </w:rPr>
        <w:t>Strategic Plan 2018-2021</w:t>
      </w:r>
    </w:p>
    <w:p w14:paraId="55657B53" w14:textId="77777777" w:rsidR="0062254B" w:rsidRPr="007B0C54" w:rsidRDefault="0062254B" w:rsidP="0062254B">
      <w:pPr>
        <w:spacing w:afterLines="60" w:after="144" w:line="240" w:lineRule="auto"/>
        <w:jc w:val="both"/>
        <w:rPr>
          <w:rFonts w:cs="Arial"/>
        </w:rPr>
      </w:pPr>
      <w:r w:rsidRPr="003A23FB">
        <w:rPr>
          <w:rFonts w:cs="Arial"/>
          <w:b/>
        </w:rPr>
        <w:t>Purpose:</w:t>
      </w:r>
      <w:r w:rsidRPr="007B0C54">
        <w:rPr>
          <w:rFonts w:cs="Arial"/>
          <w:b/>
          <w:sz w:val="24"/>
          <w:szCs w:val="24"/>
        </w:rPr>
        <w:t xml:space="preserve"> </w:t>
      </w:r>
      <w:r w:rsidRPr="007B0C54">
        <w:rPr>
          <w:rFonts w:cs="Arial"/>
        </w:rPr>
        <w:t xml:space="preserve">The Australian Disability and Development Consortium (ADDC) is an Australian based, international network focusing attention, expertise and actions on disability in developing countries, building on a human rights platform for disability advocacy. </w:t>
      </w:r>
    </w:p>
    <w:p w14:paraId="3138F35F" w14:textId="07EB09EA" w:rsidR="0062254B" w:rsidRPr="007B0C54" w:rsidRDefault="0062254B" w:rsidP="0062254B">
      <w:pPr>
        <w:spacing w:afterLines="60" w:after="144" w:line="240" w:lineRule="auto"/>
        <w:rPr>
          <w:rFonts w:cs="Arial"/>
          <w:bCs/>
        </w:rPr>
      </w:pPr>
      <w:r w:rsidRPr="007B0C54">
        <w:rPr>
          <w:rFonts w:cs="Arial"/>
          <w:b/>
        </w:rPr>
        <w:t xml:space="preserve">Vision Statement: </w:t>
      </w:r>
      <w:r w:rsidRPr="007B0C54">
        <w:rPr>
          <w:rFonts w:cs="Arial"/>
          <w:bCs/>
        </w:rPr>
        <w:t xml:space="preserve">To have a world free of poverty and for people with disabilities to be able to exercise their human rights within an inclusive society:  where they </w:t>
      </w:r>
      <w:r w:rsidR="00153212">
        <w:rPr>
          <w:rFonts w:cs="Arial"/>
          <w:bCs/>
        </w:rPr>
        <w:t xml:space="preserve">have </w:t>
      </w:r>
      <w:r w:rsidRPr="007B0C54">
        <w:rPr>
          <w:rFonts w:cs="Arial"/>
          <w:bCs/>
        </w:rPr>
        <w:t>the same opportunities and choices as any other members of their community.</w:t>
      </w:r>
    </w:p>
    <w:p w14:paraId="70DD63A4" w14:textId="77777777" w:rsidR="0062254B" w:rsidRPr="007B0C54" w:rsidRDefault="0062254B" w:rsidP="009E5C25">
      <w:pPr>
        <w:tabs>
          <w:tab w:val="left" w:pos="6144"/>
        </w:tabs>
        <w:rPr>
          <w:rFonts w:cs="Arial"/>
          <w:b/>
          <w:lang w:val="en-US"/>
        </w:rPr>
      </w:pPr>
      <w:r w:rsidRPr="007B0C54">
        <w:rPr>
          <w:rFonts w:cs="Arial"/>
          <w:b/>
          <w:bCs/>
        </w:rPr>
        <w:t>Mission Statement</w:t>
      </w:r>
      <w:r w:rsidRPr="007B0C54">
        <w:rPr>
          <w:rFonts w:cs="Arial"/>
          <w:bCs/>
        </w:rPr>
        <w:t xml:space="preserve">: </w:t>
      </w:r>
      <w:r w:rsidRPr="007B0C54">
        <w:rPr>
          <w:rFonts w:cs="Arial"/>
        </w:rPr>
        <w:t>To promote the rights and inclusion of persons with disabilities in development activities, advocating that disability be fully integrated into all Australian development programs and policies.</w:t>
      </w:r>
    </w:p>
    <w:p w14:paraId="78448C80" w14:textId="019F3F60" w:rsidR="007B0C54" w:rsidRPr="007B0C54" w:rsidRDefault="0062254B" w:rsidP="00A84A0D">
      <w:pPr>
        <w:pStyle w:val="Heading1"/>
        <w:rPr>
          <w:lang w:val="en-US"/>
        </w:rPr>
      </w:pPr>
      <w:r w:rsidRPr="007B0C54">
        <w:rPr>
          <w:lang w:val="en-US"/>
        </w:rPr>
        <w:t>Strategic Plan 2018 – 2021:</w:t>
      </w:r>
      <w:r w:rsidR="00A84A0D">
        <w:rPr>
          <w:lang w:val="en-US"/>
        </w:rPr>
        <w:t xml:space="preserve"> O</w:t>
      </w:r>
      <w:r w:rsidR="007B0C54">
        <w:rPr>
          <w:lang w:val="en-US"/>
        </w:rPr>
        <w:t>utline</w:t>
      </w:r>
    </w:p>
    <w:p w14:paraId="78CF0980" w14:textId="20AB7D87" w:rsidR="003A23FB" w:rsidRPr="003A23FB" w:rsidRDefault="0062254B" w:rsidP="00A84A0D">
      <w:pPr>
        <w:pStyle w:val="ListParagraph"/>
        <w:numPr>
          <w:ilvl w:val="0"/>
          <w:numId w:val="19"/>
        </w:numPr>
        <w:spacing w:before="120" w:after="0" w:line="276" w:lineRule="auto"/>
        <w:ind w:left="714" w:hanging="357"/>
        <w:contextualSpacing w:val="0"/>
        <w:rPr>
          <w:rFonts w:cs="Arial"/>
          <w:lang w:val="en-US"/>
        </w:rPr>
      </w:pPr>
      <w:r w:rsidRPr="003A23FB">
        <w:rPr>
          <w:rFonts w:cs="Arial"/>
          <w:lang w:val="en-US"/>
        </w:rPr>
        <w:t xml:space="preserve">The strategic plan has 4 </w:t>
      </w:r>
      <w:r w:rsidR="00D67B95" w:rsidRPr="00997F9B">
        <w:rPr>
          <w:rFonts w:cs="Arial"/>
          <w:b/>
          <w:i/>
          <w:lang w:val="en-US"/>
        </w:rPr>
        <w:t>outcomes</w:t>
      </w:r>
      <w:r w:rsidR="00D67B95">
        <w:rPr>
          <w:rFonts w:cs="Arial"/>
          <w:i/>
          <w:lang w:val="en-US"/>
        </w:rPr>
        <w:t xml:space="preserve"> </w:t>
      </w:r>
      <w:r w:rsidRPr="003A23FB">
        <w:rPr>
          <w:rFonts w:cs="Arial"/>
          <w:lang w:val="en-US"/>
        </w:rPr>
        <w:t xml:space="preserve">which ADDC </w:t>
      </w:r>
      <w:r w:rsidR="003A23FB">
        <w:rPr>
          <w:rFonts w:cs="Arial"/>
          <w:lang w:val="en-US"/>
        </w:rPr>
        <w:t xml:space="preserve">will </w:t>
      </w:r>
      <w:r w:rsidRPr="003A23FB">
        <w:rPr>
          <w:rFonts w:cs="Arial"/>
          <w:lang w:val="en-US"/>
        </w:rPr>
        <w:t xml:space="preserve">work towards. </w:t>
      </w:r>
    </w:p>
    <w:p w14:paraId="39AC6F35" w14:textId="064B0B73" w:rsidR="0062254B" w:rsidRPr="003A23FB" w:rsidRDefault="0062254B" w:rsidP="00A84A0D">
      <w:pPr>
        <w:pStyle w:val="ListParagraph"/>
        <w:numPr>
          <w:ilvl w:val="0"/>
          <w:numId w:val="19"/>
        </w:numPr>
        <w:spacing w:before="120" w:after="0" w:line="276" w:lineRule="auto"/>
        <w:ind w:left="714" w:hanging="357"/>
        <w:contextualSpacing w:val="0"/>
        <w:rPr>
          <w:rFonts w:cs="Arial"/>
          <w:lang w:val="en-US"/>
        </w:rPr>
      </w:pPr>
      <w:r w:rsidRPr="003A23FB">
        <w:rPr>
          <w:rFonts w:cs="Arial"/>
          <w:lang w:val="en-US"/>
        </w:rPr>
        <w:t xml:space="preserve">Under each </w:t>
      </w:r>
      <w:r w:rsidR="00153212">
        <w:rPr>
          <w:rFonts w:cs="Arial"/>
          <w:lang w:val="en-US"/>
        </w:rPr>
        <w:t>outcome</w:t>
      </w:r>
      <w:r w:rsidR="00153212" w:rsidRPr="003A23FB">
        <w:rPr>
          <w:rFonts w:cs="Arial"/>
          <w:lang w:val="en-US"/>
        </w:rPr>
        <w:t xml:space="preserve"> </w:t>
      </w:r>
      <w:r w:rsidRPr="003A23FB">
        <w:rPr>
          <w:rFonts w:cs="Arial"/>
          <w:lang w:val="en-US"/>
        </w:rPr>
        <w:t xml:space="preserve">are several </w:t>
      </w:r>
      <w:r w:rsidR="00D67B95" w:rsidRPr="00997F9B">
        <w:rPr>
          <w:rFonts w:cs="Arial"/>
          <w:b/>
          <w:i/>
          <w:lang w:val="en-US"/>
        </w:rPr>
        <w:t>objectives</w:t>
      </w:r>
      <w:r w:rsidR="003A23FB">
        <w:rPr>
          <w:rFonts w:cs="Arial"/>
          <w:lang w:val="en-US"/>
        </w:rPr>
        <w:t>,</w:t>
      </w:r>
      <w:r w:rsidRPr="003A23FB">
        <w:rPr>
          <w:rFonts w:cs="Arial"/>
          <w:lang w:val="en-US"/>
        </w:rPr>
        <w:t xml:space="preserve"> which are more </w:t>
      </w:r>
      <w:r w:rsidR="009E5C25">
        <w:rPr>
          <w:rFonts w:cs="Arial"/>
          <w:lang w:val="en-US"/>
        </w:rPr>
        <w:t>specific and measurable</w:t>
      </w:r>
      <w:r w:rsidRPr="003A23FB">
        <w:rPr>
          <w:rFonts w:cs="Arial"/>
          <w:lang w:val="en-US"/>
        </w:rPr>
        <w:t xml:space="preserve">. </w:t>
      </w:r>
      <w:r w:rsidR="009E5C25">
        <w:rPr>
          <w:rFonts w:cs="Arial"/>
          <w:lang w:val="en-US"/>
        </w:rPr>
        <w:t>The Strategic Plan is based on the premise that a</w:t>
      </w:r>
      <w:r w:rsidRPr="003A23FB">
        <w:rPr>
          <w:rFonts w:cs="Arial"/>
          <w:lang w:val="en-US"/>
        </w:rPr>
        <w:t>chieving these outcomes will lead to ADDC moving towards the higher</w:t>
      </w:r>
      <w:r w:rsidR="00477E3B">
        <w:rPr>
          <w:rFonts w:cs="Arial"/>
          <w:lang w:val="en-US"/>
        </w:rPr>
        <w:t xml:space="preserve"> outcomes</w:t>
      </w:r>
      <w:r w:rsidRPr="003A23FB">
        <w:rPr>
          <w:rFonts w:cs="Arial"/>
          <w:lang w:val="en-US"/>
        </w:rPr>
        <w:t>.</w:t>
      </w:r>
    </w:p>
    <w:p w14:paraId="273319E6" w14:textId="70C05888" w:rsidR="003A23FB" w:rsidRPr="003A23FB" w:rsidRDefault="003A23FB" w:rsidP="00A84A0D">
      <w:pPr>
        <w:pStyle w:val="ListParagraph"/>
        <w:numPr>
          <w:ilvl w:val="0"/>
          <w:numId w:val="19"/>
        </w:numPr>
        <w:spacing w:before="120" w:after="0" w:line="276" w:lineRule="auto"/>
        <w:ind w:left="714" w:hanging="357"/>
        <w:contextualSpacing w:val="0"/>
        <w:rPr>
          <w:rFonts w:cs="Arial"/>
          <w:lang w:val="en-US"/>
        </w:rPr>
      </w:pPr>
      <w:r w:rsidRPr="003A23FB">
        <w:rPr>
          <w:rFonts w:cs="Arial"/>
          <w:lang w:val="en-US"/>
        </w:rPr>
        <w:t xml:space="preserve">Achievement of the </w:t>
      </w:r>
      <w:r w:rsidR="00D67B95">
        <w:rPr>
          <w:rFonts w:cs="Arial"/>
          <w:lang w:val="en-US"/>
        </w:rPr>
        <w:t xml:space="preserve">objectives </w:t>
      </w:r>
      <w:r w:rsidR="009E5C25">
        <w:rPr>
          <w:rFonts w:cs="Arial"/>
          <w:lang w:val="en-US"/>
        </w:rPr>
        <w:t xml:space="preserve">will be </w:t>
      </w:r>
      <w:r w:rsidRPr="003A23FB">
        <w:rPr>
          <w:rFonts w:cs="Arial"/>
          <w:lang w:val="en-US"/>
        </w:rPr>
        <w:t xml:space="preserve">measured by performance against </w:t>
      </w:r>
      <w:r w:rsidRPr="00F715DE">
        <w:rPr>
          <w:rFonts w:cs="Arial"/>
          <w:b/>
          <w:i/>
          <w:lang w:val="en-US"/>
        </w:rPr>
        <w:t>indicators</w:t>
      </w:r>
      <w:r w:rsidR="00D67B95">
        <w:rPr>
          <w:rFonts w:cs="Arial"/>
          <w:b/>
          <w:i/>
          <w:lang w:val="en-US"/>
        </w:rPr>
        <w:t xml:space="preserve"> </w:t>
      </w:r>
      <w:r w:rsidR="00D67B95">
        <w:rPr>
          <w:rFonts w:cs="Arial"/>
          <w:lang w:val="en-US"/>
        </w:rPr>
        <w:t xml:space="preserve">and the relevant </w:t>
      </w:r>
      <w:r w:rsidR="00D67B95">
        <w:rPr>
          <w:rFonts w:cs="Arial"/>
          <w:b/>
          <w:i/>
          <w:lang w:val="en-US"/>
        </w:rPr>
        <w:t xml:space="preserve">targets </w:t>
      </w:r>
      <w:r w:rsidR="00D67B95">
        <w:rPr>
          <w:rFonts w:cs="Arial"/>
          <w:lang w:val="en-US"/>
        </w:rPr>
        <w:t>set for each of these</w:t>
      </w:r>
      <w:r w:rsidRPr="003A23FB">
        <w:rPr>
          <w:rFonts w:cs="Arial"/>
          <w:lang w:val="en-US"/>
        </w:rPr>
        <w:t>.  These indicators will form the basis of ADDC’s Monitoring and Evaluation Framework.  Reporting</w:t>
      </w:r>
      <w:r w:rsidR="00D67B95">
        <w:rPr>
          <w:rFonts w:cs="Arial"/>
          <w:lang w:val="en-US"/>
        </w:rPr>
        <w:t xml:space="preserve"> against this framework</w:t>
      </w:r>
      <w:r w:rsidRPr="003A23FB">
        <w:rPr>
          <w:rFonts w:cs="Arial"/>
          <w:lang w:val="en-US"/>
        </w:rPr>
        <w:t xml:space="preserve"> will be reviewed </w:t>
      </w:r>
      <w:r w:rsidR="00477E3B">
        <w:rPr>
          <w:rFonts w:cs="Arial"/>
          <w:lang w:val="en-US"/>
        </w:rPr>
        <w:t xml:space="preserve">annually </w:t>
      </w:r>
      <w:r w:rsidRPr="003A23FB">
        <w:rPr>
          <w:rFonts w:cs="Arial"/>
          <w:lang w:val="en-US"/>
        </w:rPr>
        <w:t xml:space="preserve">by our current </w:t>
      </w:r>
      <w:r w:rsidR="00D67B95">
        <w:rPr>
          <w:rFonts w:cs="Arial"/>
          <w:lang w:val="en-US"/>
        </w:rPr>
        <w:t>host organisation</w:t>
      </w:r>
      <w:r w:rsidRPr="003A23FB">
        <w:rPr>
          <w:rFonts w:cs="Arial"/>
          <w:lang w:val="en-US"/>
        </w:rPr>
        <w:t xml:space="preserve"> (CBM Australia)</w:t>
      </w:r>
      <w:r>
        <w:rPr>
          <w:rFonts w:cs="Arial"/>
          <w:lang w:val="en-US"/>
        </w:rPr>
        <w:t>, the ADDC Executive Committee</w:t>
      </w:r>
      <w:r w:rsidRPr="003A23FB">
        <w:rPr>
          <w:rFonts w:cs="Arial"/>
          <w:lang w:val="en-US"/>
        </w:rPr>
        <w:t xml:space="preserve"> and our members. </w:t>
      </w:r>
    </w:p>
    <w:p w14:paraId="6E7557A1" w14:textId="2A664CB9" w:rsidR="003A23FB" w:rsidRDefault="003A23FB" w:rsidP="00A84A0D">
      <w:pPr>
        <w:pStyle w:val="ListParagraph"/>
        <w:numPr>
          <w:ilvl w:val="0"/>
          <w:numId w:val="19"/>
        </w:numPr>
        <w:spacing w:before="120" w:after="0" w:line="276" w:lineRule="auto"/>
        <w:ind w:left="714" w:hanging="357"/>
        <w:contextualSpacing w:val="0"/>
        <w:rPr>
          <w:rFonts w:cs="Arial"/>
          <w:lang w:val="en-US"/>
        </w:rPr>
      </w:pPr>
      <w:r w:rsidRPr="003A23FB">
        <w:rPr>
          <w:rFonts w:cs="Arial"/>
          <w:lang w:val="en-US"/>
        </w:rPr>
        <w:t xml:space="preserve">Against each outcome there are also possible </w:t>
      </w:r>
      <w:r w:rsidRPr="00F715DE">
        <w:rPr>
          <w:rFonts w:cs="Arial"/>
          <w:b/>
          <w:i/>
          <w:lang w:val="en-US"/>
        </w:rPr>
        <w:t>activities</w:t>
      </w:r>
      <w:r w:rsidRPr="003A23FB">
        <w:rPr>
          <w:rFonts w:cs="Arial"/>
          <w:lang w:val="en-US"/>
        </w:rPr>
        <w:t>. These activities are just proposals, and are not mandated by this Strategic Plan. The ADDC Executive Officer will draft a yearly workplan to deliver upon the outcomes and objectives in this Strategic Pl</w:t>
      </w:r>
      <w:r w:rsidR="00F715DE">
        <w:rPr>
          <w:rFonts w:cs="Arial"/>
          <w:lang w:val="en-US"/>
        </w:rPr>
        <w:t>an; these workplans may include and</w:t>
      </w:r>
      <w:r w:rsidRPr="003A23FB">
        <w:rPr>
          <w:rFonts w:cs="Arial"/>
          <w:lang w:val="en-US"/>
        </w:rPr>
        <w:t xml:space="preserve"> prioritise different aspects of the possible activities from time to time. The workplans </w:t>
      </w:r>
      <w:r w:rsidR="00477E3B">
        <w:rPr>
          <w:rFonts w:cs="Arial"/>
          <w:lang w:val="en-US"/>
        </w:rPr>
        <w:t xml:space="preserve">will </w:t>
      </w:r>
      <w:r w:rsidRPr="003A23FB">
        <w:rPr>
          <w:rFonts w:cs="Arial"/>
          <w:lang w:val="en-US"/>
        </w:rPr>
        <w:t>reviewed by the ADDC Ex</w:t>
      </w:r>
      <w:r w:rsidR="00477E3B">
        <w:rPr>
          <w:rFonts w:cs="Arial"/>
          <w:lang w:val="en-US"/>
        </w:rPr>
        <w:t xml:space="preserve">Com </w:t>
      </w:r>
      <w:r w:rsidRPr="003A23FB">
        <w:rPr>
          <w:rFonts w:cs="Arial"/>
          <w:lang w:val="en-US"/>
        </w:rPr>
        <w:t xml:space="preserve">and the </w:t>
      </w:r>
      <w:r w:rsidR="00D67B95">
        <w:rPr>
          <w:rFonts w:cs="Arial"/>
          <w:lang w:val="en-US"/>
        </w:rPr>
        <w:t>host organisation</w:t>
      </w:r>
      <w:r w:rsidRPr="003A23FB">
        <w:rPr>
          <w:rFonts w:cs="Arial"/>
          <w:lang w:val="en-US"/>
        </w:rPr>
        <w:t>.</w:t>
      </w:r>
    </w:p>
    <w:p w14:paraId="48A7EB5E" w14:textId="439CF810" w:rsidR="00845249" w:rsidRPr="00997F9B" w:rsidRDefault="00845249" w:rsidP="00A84A0D">
      <w:pPr>
        <w:pStyle w:val="ListParagraph"/>
        <w:numPr>
          <w:ilvl w:val="0"/>
          <w:numId w:val="19"/>
        </w:numPr>
        <w:spacing w:before="120" w:after="0" w:line="276" w:lineRule="auto"/>
        <w:ind w:left="714" w:hanging="357"/>
        <w:contextualSpacing w:val="0"/>
        <w:rPr>
          <w:rFonts w:cs="Arial"/>
          <w:lang w:val="en-US"/>
        </w:rPr>
      </w:pPr>
      <w:r>
        <w:rPr>
          <w:rFonts w:cs="Arial"/>
          <w:lang w:val="en-US"/>
        </w:rPr>
        <w:t xml:space="preserve">The </w:t>
      </w:r>
      <w:r w:rsidRPr="00A84A0D">
        <w:rPr>
          <w:rFonts w:cs="Arial"/>
          <w:b/>
          <w:i/>
          <w:lang w:val="en-US"/>
        </w:rPr>
        <w:t>rationale</w:t>
      </w:r>
      <w:r>
        <w:rPr>
          <w:rFonts w:cs="Arial"/>
          <w:lang w:val="en-US"/>
        </w:rPr>
        <w:t xml:space="preserve"> for the strategic plan is set out below. This overviews the basic logic of how the strategic plan will result in the change required to achieve ADDC’s vision and mission statements. The rationale seeks to articulate the connection (a) between the outcomes of the strategic plan that ADDC can feasibly work towards and (b) the ‘blue sky’ elements of the mission and vision statements that are beyond ADDC’s control.  This separate articulation is required so that the objectives and indicators included within the strategic plan can be measurable and achievable – including too many high level elements that are beyond ADDC’s direct control within the strategic plan (such as increased DID funding, or overhauling DFAT reporting requirements for example), will not set ADDC up for success.</w:t>
      </w:r>
    </w:p>
    <w:p w14:paraId="3EC606CA" w14:textId="11B70ECC" w:rsidR="0062254B" w:rsidRPr="007B0C54" w:rsidRDefault="0062254B" w:rsidP="00A84A0D">
      <w:pPr>
        <w:pStyle w:val="Heading2"/>
        <w:rPr>
          <w:lang w:val="en-US"/>
        </w:rPr>
      </w:pPr>
      <w:r w:rsidRPr="007B0C54">
        <w:rPr>
          <w:lang w:val="en-US"/>
        </w:rPr>
        <w:lastRenderedPageBreak/>
        <w:t xml:space="preserve">Strategic </w:t>
      </w:r>
      <w:r w:rsidR="00D67B95">
        <w:rPr>
          <w:lang w:val="en-US"/>
        </w:rPr>
        <w:t>Outcomes</w:t>
      </w:r>
      <w:r w:rsidRPr="007B0C54">
        <w:rPr>
          <w:lang w:val="en-US"/>
        </w:rPr>
        <w:t>:</w:t>
      </w:r>
    </w:p>
    <w:p w14:paraId="4DFF4B7F" w14:textId="0E51E97E" w:rsidR="0062254B" w:rsidRPr="007B0C54" w:rsidRDefault="0062254B" w:rsidP="00610B43">
      <w:pPr>
        <w:pStyle w:val="ListParagraph"/>
        <w:numPr>
          <w:ilvl w:val="0"/>
          <w:numId w:val="18"/>
        </w:numPr>
        <w:spacing w:after="0" w:line="276" w:lineRule="auto"/>
        <w:ind w:left="714" w:hanging="357"/>
        <w:contextualSpacing w:val="0"/>
        <w:rPr>
          <w:rFonts w:cs="Arial"/>
          <w:lang w:val="en-US"/>
        </w:rPr>
      </w:pPr>
      <w:r w:rsidRPr="007B0C54">
        <w:t>ADDC’s strong collective voice has resulted in Australian agencies</w:t>
      </w:r>
      <w:r w:rsidR="00477E3B">
        <w:t xml:space="preserve"> </w:t>
      </w:r>
      <w:r w:rsidR="004F7CD4">
        <w:t xml:space="preserve">and individuals </w:t>
      </w:r>
      <w:r w:rsidR="00153212" w:rsidRPr="007B0C54">
        <w:t>engaged</w:t>
      </w:r>
      <w:r w:rsidRPr="007B0C54">
        <w:t xml:space="preserve"> in international development work having increased accountability to the inclusion and rights of people with disabilities.</w:t>
      </w:r>
    </w:p>
    <w:p w14:paraId="5600385A" w14:textId="34DFD0F7" w:rsidR="0062254B" w:rsidRPr="007B0C54" w:rsidRDefault="0062254B" w:rsidP="00610B43">
      <w:pPr>
        <w:pStyle w:val="ListParagraph"/>
        <w:numPr>
          <w:ilvl w:val="0"/>
          <w:numId w:val="18"/>
        </w:numPr>
        <w:spacing w:after="0" w:line="276" w:lineRule="auto"/>
        <w:ind w:left="714" w:hanging="357"/>
        <w:contextualSpacing w:val="0"/>
      </w:pPr>
      <w:r w:rsidRPr="007B0C54">
        <w:t>Disability inclusion is embedded in the work of Australian agencies</w:t>
      </w:r>
      <w:r w:rsidR="00477E3B">
        <w:t xml:space="preserve"> </w:t>
      </w:r>
      <w:r w:rsidRPr="007B0C54">
        <w:t>and individuals engaged in international development.</w:t>
      </w:r>
    </w:p>
    <w:p w14:paraId="617EC024" w14:textId="096062C9" w:rsidR="006D7F9A" w:rsidRPr="007B0C54" w:rsidRDefault="006D7F9A" w:rsidP="00610B43">
      <w:pPr>
        <w:pStyle w:val="ListParagraph"/>
        <w:numPr>
          <w:ilvl w:val="0"/>
          <w:numId w:val="18"/>
        </w:numPr>
        <w:spacing w:after="0" w:line="276" w:lineRule="auto"/>
        <w:ind w:left="714" w:hanging="357"/>
        <w:contextualSpacing w:val="0"/>
      </w:pPr>
      <w:r w:rsidRPr="007B0C54">
        <w:t>There is improved technical knowledge and skills of DID practice by Australian agencies</w:t>
      </w:r>
      <w:r w:rsidR="00477E3B">
        <w:t xml:space="preserve"> </w:t>
      </w:r>
      <w:r w:rsidRPr="007B0C54">
        <w:t xml:space="preserve"> and individuals engaged in international development work</w:t>
      </w:r>
    </w:p>
    <w:p w14:paraId="22AC58DF" w14:textId="08FFDEC3" w:rsidR="000F4DC9" w:rsidRPr="00592391" w:rsidRDefault="006D7F9A" w:rsidP="00592391">
      <w:pPr>
        <w:pStyle w:val="ListParagraph"/>
        <w:numPr>
          <w:ilvl w:val="0"/>
          <w:numId w:val="18"/>
        </w:numPr>
        <w:spacing w:after="0" w:line="276" w:lineRule="auto"/>
        <w:ind w:left="714" w:hanging="357"/>
        <w:contextualSpacing w:val="0"/>
        <w:rPr>
          <w:rFonts w:cs="Arial"/>
          <w:lang w:val="en-US"/>
        </w:rPr>
      </w:pPr>
      <w:r w:rsidRPr="007B0C54">
        <w:t>ADDC is strong and viable.</w:t>
      </w:r>
    </w:p>
    <w:p w14:paraId="37AA6B5C" w14:textId="406A510B" w:rsidR="000F4DC9" w:rsidRDefault="000F4DC9" w:rsidP="00592391">
      <w:pPr>
        <w:spacing w:after="0" w:line="276" w:lineRule="auto"/>
        <w:ind w:left="357"/>
        <w:rPr>
          <w:rFonts w:cs="Arial"/>
          <w:lang w:val="en-US"/>
        </w:rPr>
      </w:pPr>
    </w:p>
    <w:p w14:paraId="49B3D755" w14:textId="4BDBB8B3" w:rsidR="000F4DC9" w:rsidRDefault="000F4DC9" w:rsidP="00592391">
      <w:pPr>
        <w:tabs>
          <w:tab w:val="left" w:pos="142"/>
          <w:tab w:val="left" w:pos="709"/>
        </w:tabs>
        <w:spacing w:after="0" w:line="276" w:lineRule="auto"/>
        <w:rPr>
          <w:rFonts w:cs="Arial"/>
          <w:lang w:val="en-US"/>
        </w:rPr>
      </w:pPr>
      <w:r>
        <w:rPr>
          <w:rFonts w:cs="Arial"/>
          <w:lang w:val="en-US"/>
        </w:rPr>
        <w:t>Definitions:</w:t>
      </w:r>
    </w:p>
    <w:p w14:paraId="3FDA3F74" w14:textId="51BA5E55" w:rsidR="00592391" w:rsidRPr="009577B1" w:rsidRDefault="000F4DC9" w:rsidP="009577B1">
      <w:pPr>
        <w:pStyle w:val="ListParagraph"/>
        <w:numPr>
          <w:ilvl w:val="0"/>
          <w:numId w:val="27"/>
        </w:numPr>
        <w:tabs>
          <w:tab w:val="left" w:pos="142"/>
          <w:tab w:val="left" w:pos="709"/>
        </w:tabs>
        <w:spacing w:before="120" w:after="0" w:line="276" w:lineRule="auto"/>
        <w:contextualSpacing w:val="0"/>
        <w:rPr>
          <w:sz w:val="21"/>
          <w:szCs w:val="21"/>
        </w:rPr>
      </w:pPr>
      <w:r w:rsidRPr="00592391">
        <w:rPr>
          <w:rFonts w:cs="Arial"/>
          <w:lang w:val="en-US"/>
        </w:rPr>
        <w:t xml:space="preserve">Australian agencies: Government and non-Government agencies, including NGOs, Managing Contractors, DFAT, </w:t>
      </w:r>
      <w:r w:rsidR="00592391">
        <w:rPr>
          <w:rFonts w:cs="Arial"/>
          <w:lang w:val="en-US"/>
        </w:rPr>
        <w:t xml:space="preserve">other donors where relevant, ACFID, DPOs and Australian domestic disability service providers that are undertaking work in developing countries. DID: Disability inclusive development </w:t>
      </w:r>
      <w:r w:rsidR="00592391" w:rsidRPr="009577B1">
        <w:rPr>
          <w:sz w:val="21"/>
          <w:szCs w:val="21"/>
        </w:rPr>
        <w:t xml:space="preserve">means ensuring that all phases of the development cycle (design, implementation, monitoring and evaluation) include a disability dimension and that </w:t>
      </w:r>
      <w:r w:rsidR="00592391" w:rsidRPr="009577B1">
        <w:rPr>
          <w:rStyle w:val="Strong"/>
          <w:b w:val="0"/>
          <w:sz w:val="21"/>
          <w:szCs w:val="21"/>
        </w:rPr>
        <w:t>people with disabilities are meaningfully and effectively participating in development processes and policies.</w:t>
      </w:r>
      <w:r w:rsidR="009577B1">
        <w:rPr>
          <w:rStyle w:val="Strong"/>
          <w:b w:val="0"/>
          <w:sz w:val="21"/>
          <w:szCs w:val="21"/>
        </w:rPr>
        <w:t xml:space="preserve"> DID </w:t>
      </w:r>
      <w:r w:rsidR="00592391" w:rsidRPr="009577B1">
        <w:rPr>
          <w:sz w:val="21"/>
          <w:szCs w:val="21"/>
        </w:rPr>
        <w:t>is founded upon the three</w:t>
      </w:r>
      <w:r w:rsidR="009577B1" w:rsidRPr="009577B1">
        <w:rPr>
          <w:sz w:val="21"/>
          <w:szCs w:val="21"/>
        </w:rPr>
        <w:t xml:space="preserve"> </w:t>
      </w:r>
      <w:r w:rsidR="00592391" w:rsidRPr="009577B1">
        <w:rPr>
          <w:sz w:val="21"/>
          <w:szCs w:val="21"/>
        </w:rPr>
        <w:t xml:space="preserve"> key principles of </w:t>
      </w:r>
      <w:r w:rsidR="00592391" w:rsidRPr="009577B1">
        <w:rPr>
          <w:rStyle w:val="Strong"/>
          <w:b w:val="0"/>
          <w:sz w:val="21"/>
          <w:szCs w:val="21"/>
        </w:rPr>
        <w:t>participation, non-discrimination and accessibility.</w:t>
      </w:r>
      <w:r w:rsidR="009577B1">
        <w:rPr>
          <w:rStyle w:val="Strong"/>
          <w:b w:val="0"/>
          <w:sz w:val="21"/>
          <w:szCs w:val="21"/>
        </w:rPr>
        <w:t xml:space="preserve"> It is </w:t>
      </w:r>
      <w:r w:rsidR="00592391" w:rsidRPr="009577B1">
        <w:rPr>
          <w:sz w:val="21"/>
          <w:szCs w:val="21"/>
        </w:rPr>
        <w:t xml:space="preserve">based on a </w:t>
      </w:r>
      <w:r w:rsidR="00592391" w:rsidRPr="009577B1">
        <w:rPr>
          <w:rStyle w:val="Strong"/>
          <w:b w:val="0"/>
          <w:sz w:val="21"/>
          <w:szCs w:val="21"/>
        </w:rPr>
        <w:t>twin-track approach</w:t>
      </w:r>
      <w:r w:rsidR="00592391" w:rsidRPr="009577B1">
        <w:rPr>
          <w:sz w:val="21"/>
          <w:szCs w:val="21"/>
        </w:rPr>
        <w:t xml:space="preserve"> that implies both (1) actions to </w:t>
      </w:r>
      <w:r w:rsidR="00592391" w:rsidRPr="009577B1">
        <w:rPr>
          <w:rStyle w:val="Strong"/>
          <w:b w:val="0"/>
          <w:sz w:val="21"/>
          <w:szCs w:val="21"/>
        </w:rPr>
        <w:t>mainstream disability in all programmes</w:t>
      </w:r>
      <w:r w:rsidR="00592391" w:rsidRPr="009577B1">
        <w:rPr>
          <w:sz w:val="21"/>
          <w:szCs w:val="21"/>
        </w:rPr>
        <w:t xml:space="preserve">, and (2) </w:t>
      </w:r>
      <w:r w:rsidR="00592391" w:rsidRPr="009577B1">
        <w:rPr>
          <w:rStyle w:val="Strong"/>
          <w:b w:val="0"/>
          <w:sz w:val="21"/>
          <w:szCs w:val="21"/>
        </w:rPr>
        <w:t>actions specifically targeting people with disabilities</w:t>
      </w:r>
      <w:r w:rsidR="00592391" w:rsidRPr="009577B1">
        <w:rPr>
          <w:sz w:val="21"/>
          <w:szCs w:val="21"/>
        </w:rPr>
        <w:t xml:space="preserve"> to enable them to participate and benefit from programmes on an equal basis with others. </w:t>
      </w:r>
      <w:r w:rsidR="00C7369E">
        <w:rPr>
          <w:rStyle w:val="FootnoteReference"/>
          <w:sz w:val="21"/>
          <w:szCs w:val="21"/>
        </w:rPr>
        <w:footnoteReference w:id="1"/>
      </w:r>
    </w:p>
    <w:p w14:paraId="4E9EC773" w14:textId="12188070" w:rsidR="00A84A0D" w:rsidRPr="00592391" w:rsidRDefault="00592391" w:rsidP="00592391">
      <w:pPr>
        <w:pStyle w:val="ListParagraph"/>
        <w:tabs>
          <w:tab w:val="left" w:pos="142"/>
          <w:tab w:val="left" w:pos="709"/>
        </w:tabs>
        <w:spacing w:before="120" w:after="0" w:line="276" w:lineRule="auto"/>
        <w:contextualSpacing w:val="0"/>
        <w:rPr>
          <w:rFonts w:cs="Arial"/>
          <w:lang w:val="en-US"/>
        </w:rPr>
      </w:pPr>
      <w:r>
        <w:rPr>
          <w:rFonts w:ascii="Verdana" w:hAnsi="Verdana" w:cs="Helvetica"/>
          <w:color w:val="333333"/>
          <w:sz w:val="18"/>
          <w:szCs w:val="18"/>
          <w:lang w:val="en"/>
        </w:rPr>
        <w:t xml:space="preserve"> </w:t>
      </w:r>
    </w:p>
    <w:p w14:paraId="5B02C85F" w14:textId="740B1183" w:rsidR="00845249" w:rsidRDefault="00845249" w:rsidP="00A84A0D">
      <w:pPr>
        <w:pStyle w:val="Heading2"/>
        <w:rPr>
          <w:lang w:val="en-US"/>
        </w:rPr>
      </w:pPr>
      <w:r>
        <w:rPr>
          <w:lang w:val="en-US"/>
        </w:rPr>
        <w:t>Rationale:</w:t>
      </w:r>
    </w:p>
    <w:p w14:paraId="5A24E39D" w14:textId="43769BC7" w:rsidR="003475FB" w:rsidRDefault="003475FB" w:rsidP="00845249">
      <w:r>
        <w:t>In preparation for the development of this strategic plan, ADDC conducted consultations with the sector. Through phone and in person interviews and an online survey, input was received from over 50 stakeholders on the needs and priorities that ADDC should meet through its next strategic plan. Key findings of the consultation were:</w:t>
      </w:r>
    </w:p>
    <w:p w14:paraId="59E8E5B6" w14:textId="00C76D0A" w:rsidR="00A07B79" w:rsidRPr="003475FB" w:rsidRDefault="00E5369C" w:rsidP="003475FB">
      <w:pPr>
        <w:numPr>
          <w:ilvl w:val="0"/>
          <w:numId w:val="29"/>
        </w:numPr>
      </w:pPr>
      <w:r w:rsidRPr="003475FB">
        <w:t xml:space="preserve">There has been a significant change in landscape over the past 10 years: </w:t>
      </w:r>
      <w:r w:rsidR="003475FB">
        <w:t xml:space="preserve">ADDC’s </w:t>
      </w:r>
      <w:r w:rsidRPr="003475FB">
        <w:t xml:space="preserve">audience is more divergent now, so the message and </w:t>
      </w:r>
      <w:r w:rsidR="003475FB">
        <w:t>method needs to be more nuanced to meet needs of both those with sophisticated expertise in DID, and those who are just beginning their journey on this.</w:t>
      </w:r>
    </w:p>
    <w:p w14:paraId="56C15CDE" w14:textId="4528A0A8" w:rsidR="00A07B79" w:rsidRPr="003475FB" w:rsidRDefault="00E5369C" w:rsidP="003475FB">
      <w:pPr>
        <w:numPr>
          <w:ilvl w:val="0"/>
          <w:numId w:val="29"/>
        </w:numPr>
      </w:pPr>
      <w:r w:rsidRPr="003475FB">
        <w:t xml:space="preserve">There are still many working in the </w:t>
      </w:r>
      <w:r w:rsidR="003475FB">
        <w:t>international development (</w:t>
      </w:r>
      <w:r w:rsidRPr="003475FB">
        <w:t>ID</w:t>
      </w:r>
      <w:r w:rsidR="003475FB">
        <w:t>)</w:t>
      </w:r>
      <w:r w:rsidRPr="003475FB">
        <w:t xml:space="preserve"> sector w</w:t>
      </w:r>
      <w:r w:rsidR="00EA021C">
        <w:t>ho remain ‘unconverted to DID’ – particularly in Managing Contractors, DFAT generalist staff and NGO generalist staff. While much progress has been made, i</w:t>
      </w:r>
      <w:r w:rsidRPr="003475FB">
        <w:t>t is important not to lose sight of these.</w:t>
      </w:r>
      <w:r w:rsidR="00C7369E">
        <w:t xml:space="preserve">  Barriers to them practicing DID include lack of awareness, lack of resources (including financial), lack of mandatory requirement to do so, unfamiliarity and low confidence to engage in DID and people with disabilities.</w:t>
      </w:r>
    </w:p>
    <w:p w14:paraId="5314A41D" w14:textId="77777777" w:rsidR="00A07B79" w:rsidRPr="003475FB" w:rsidRDefault="00E5369C" w:rsidP="003475FB">
      <w:pPr>
        <w:numPr>
          <w:ilvl w:val="0"/>
          <w:numId w:val="29"/>
        </w:numPr>
      </w:pPr>
      <w:r w:rsidRPr="003475FB">
        <w:lastRenderedPageBreak/>
        <w:t>The domestic disability sector are increasingly working in developing country contexts, and need to be engaged on ID principles and opportunities for collaboration.</w:t>
      </w:r>
    </w:p>
    <w:p w14:paraId="59E8C2DA" w14:textId="77777777" w:rsidR="00A07B79" w:rsidRPr="003475FB" w:rsidRDefault="00E5369C" w:rsidP="003475FB">
      <w:pPr>
        <w:numPr>
          <w:ilvl w:val="0"/>
          <w:numId w:val="29"/>
        </w:numPr>
      </w:pPr>
      <w:r w:rsidRPr="003475FB">
        <w:t>Poli</w:t>
      </w:r>
      <w:r w:rsidRPr="003475FB">
        <w:t xml:space="preserve">cy commitment does not necessarily translate to high quality DID work in practice. </w:t>
      </w:r>
    </w:p>
    <w:p w14:paraId="518808A0" w14:textId="77777777" w:rsidR="00A07B79" w:rsidRPr="003475FB" w:rsidRDefault="00E5369C" w:rsidP="003475FB">
      <w:pPr>
        <w:numPr>
          <w:ilvl w:val="1"/>
          <w:numId w:val="29"/>
        </w:numPr>
      </w:pPr>
      <w:r w:rsidRPr="003475FB">
        <w:t xml:space="preserve">There are no strong mechanisms to keep organisations/DFAT </w:t>
      </w:r>
      <w:r w:rsidRPr="003475FB">
        <w:rPr>
          <w:i/>
          <w:iCs/>
        </w:rPr>
        <w:t xml:space="preserve">accountable </w:t>
      </w:r>
      <w:r w:rsidRPr="003475FB">
        <w:t>to their policy commitments.</w:t>
      </w:r>
    </w:p>
    <w:p w14:paraId="6ABFBD63" w14:textId="28A92AA2" w:rsidR="00A07B79" w:rsidRPr="003475FB" w:rsidRDefault="00E5369C" w:rsidP="003475FB">
      <w:pPr>
        <w:numPr>
          <w:ilvl w:val="1"/>
          <w:numId w:val="29"/>
        </w:numPr>
      </w:pPr>
      <w:r w:rsidRPr="003475FB">
        <w:t xml:space="preserve">DID practice needs ongoing commitment and improvement to cover emerging </w:t>
      </w:r>
      <w:r w:rsidRPr="003475FB">
        <w:t>areas and areas that are not well.</w:t>
      </w:r>
    </w:p>
    <w:p w14:paraId="58D161F2" w14:textId="6D61F100" w:rsidR="00A07B79" w:rsidRPr="003475FB" w:rsidRDefault="00E5369C" w:rsidP="003475FB">
      <w:pPr>
        <w:numPr>
          <w:ilvl w:val="0"/>
          <w:numId w:val="29"/>
        </w:numPr>
      </w:pPr>
      <w:r w:rsidRPr="003475FB">
        <w:t>Political support</w:t>
      </w:r>
      <w:r w:rsidR="00EA021C">
        <w:t xml:space="preserve"> for DID within Australia’s aid program</w:t>
      </w:r>
      <w:r w:rsidRPr="003475FB">
        <w:t xml:space="preserve"> is currently strong, but always tenuous. Engagement needs to be strategic given how crowded the political lobbying space is now.</w:t>
      </w:r>
    </w:p>
    <w:p w14:paraId="3842ED92" w14:textId="192A7B19" w:rsidR="003475FB" w:rsidRDefault="00E5369C" w:rsidP="00C7369E">
      <w:pPr>
        <w:numPr>
          <w:ilvl w:val="0"/>
          <w:numId w:val="29"/>
        </w:numPr>
      </w:pPr>
      <w:r w:rsidRPr="003475FB">
        <w:t>ADDC need to work actively to ensur</w:t>
      </w:r>
      <w:r w:rsidRPr="003475FB">
        <w:t>e its viability, profile and effectiveness.</w:t>
      </w:r>
    </w:p>
    <w:p w14:paraId="055D49AB" w14:textId="342FCA9B" w:rsidR="00845249" w:rsidRPr="00A84A0D" w:rsidRDefault="00EA021C" w:rsidP="00845249">
      <w:r>
        <w:t>The consultation indicated that f</w:t>
      </w:r>
      <w:r w:rsidR="00845249" w:rsidRPr="00A84A0D">
        <w:t xml:space="preserve">or ADDC vision of </w:t>
      </w:r>
      <w:r w:rsidR="00845249" w:rsidRPr="00A84A0D">
        <w:rPr>
          <w:rFonts w:cs="Arial"/>
          <w:bCs/>
        </w:rPr>
        <w:t>‘a world free of poverty and for people with disabilities to be able to exercise their human rights within an inclusive society:  where they the same opportunities and choices as any other members of their community</w:t>
      </w:r>
      <w:r w:rsidR="00845249" w:rsidRPr="00A84A0D">
        <w:t>’ to be achieved, there needs to be:</w:t>
      </w:r>
    </w:p>
    <w:p w14:paraId="66DFD8BF" w14:textId="77777777" w:rsidR="00845249" w:rsidRPr="00997F9B" w:rsidRDefault="00845249" w:rsidP="00845249">
      <w:pPr>
        <w:pStyle w:val="ListParagraph"/>
        <w:numPr>
          <w:ilvl w:val="0"/>
          <w:numId w:val="21"/>
        </w:numPr>
      </w:pPr>
      <w:r w:rsidRPr="00997F9B">
        <w:t>Increased and stable support for DID amongst key donors, particularly DFAT. This includes:</w:t>
      </w:r>
    </w:p>
    <w:p w14:paraId="348AF6FF" w14:textId="77777777" w:rsidR="00845249" w:rsidRPr="00997F9B" w:rsidRDefault="00845249" w:rsidP="00845249">
      <w:pPr>
        <w:pStyle w:val="ListParagraph"/>
        <w:numPr>
          <w:ilvl w:val="1"/>
          <w:numId w:val="21"/>
        </w:numPr>
      </w:pPr>
      <w:r w:rsidRPr="00997F9B">
        <w:t>Continued adequate funding for DID.</w:t>
      </w:r>
    </w:p>
    <w:p w14:paraId="523265C9" w14:textId="287C6F42" w:rsidR="00845249" w:rsidRPr="00997F9B" w:rsidRDefault="00845249" w:rsidP="00845249">
      <w:pPr>
        <w:pStyle w:val="ListParagraph"/>
        <w:numPr>
          <w:ilvl w:val="1"/>
          <w:numId w:val="21"/>
        </w:numPr>
      </w:pPr>
      <w:r w:rsidRPr="00997F9B">
        <w:t>Policy / strategy support for DID (e.g. through continuation of the Development for All strateg</w:t>
      </w:r>
      <w:r w:rsidR="00FE74FD">
        <w:t>y, and including an emphasis on the twin track appraoch</w:t>
      </w:r>
    </w:p>
    <w:p w14:paraId="72779EFE" w14:textId="77777777" w:rsidR="00845249" w:rsidRPr="00997F9B" w:rsidRDefault="00845249" w:rsidP="00845249">
      <w:pPr>
        <w:pStyle w:val="ListParagraph"/>
        <w:numPr>
          <w:ilvl w:val="1"/>
          <w:numId w:val="21"/>
        </w:numPr>
      </w:pPr>
      <w:r w:rsidRPr="00997F9B">
        <w:t>Requirement for robust and meaningful reporting against disability inclusion (thereby mandating DID amongst those who have not taken on board the importance of this).</w:t>
      </w:r>
    </w:p>
    <w:p w14:paraId="721B6158" w14:textId="7A603EA7" w:rsidR="00845249" w:rsidRPr="00997F9B" w:rsidRDefault="00845249" w:rsidP="00845249">
      <w:pPr>
        <w:pStyle w:val="ListParagraph"/>
        <w:numPr>
          <w:ilvl w:val="0"/>
          <w:numId w:val="21"/>
        </w:numPr>
      </w:pPr>
      <w:r w:rsidRPr="00997F9B">
        <w:t>Increased accountability of donors and agencies, particularly DFAT, against commitments. This will rely on ADDC building and using a strong collective voice</w:t>
      </w:r>
      <w:r w:rsidR="00153212">
        <w:t xml:space="preserve"> to hold doors and agencies to account</w:t>
      </w:r>
      <w:r w:rsidRPr="00997F9B">
        <w:t>.</w:t>
      </w:r>
    </w:p>
    <w:p w14:paraId="1F725C8A" w14:textId="77777777" w:rsidR="00845249" w:rsidRPr="00997F9B" w:rsidRDefault="00845249" w:rsidP="00845249">
      <w:pPr>
        <w:pStyle w:val="ListParagraph"/>
        <w:numPr>
          <w:ilvl w:val="0"/>
          <w:numId w:val="21"/>
        </w:numPr>
      </w:pPr>
      <w:r w:rsidRPr="00997F9B">
        <w:t>More practitioners more aware of the need for DID and feeling more confident to implement this.  This requires:</w:t>
      </w:r>
    </w:p>
    <w:p w14:paraId="0154DF72" w14:textId="680E7FBF" w:rsidR="00845249" w:rsidRPr="00997F9B" w:rsidRDefault="00845249" w:rsidP="00845249">
      <w:pPr>
        <w:pStyle w:val="ListParagraph"/>
        <w:numPr>
          <w:ilvl w:val="1"/>
          <w:numId w:val="21"/>
        </w:numPr>
      </w:pPr>
      <w:r w:rsidRPr="00997F9B">
        <w:t>Awareness raising and training around the basics of DID practice.  This should aim at ‘entry level’ practice through ‘bite size’ resources focusing on stories of change and examples, rather than the more technical resources/training</w:t>
      </w:r>
      <w:r w:rsidR="00A84A0D">
        <w:t xml:space="preserve"> that is already </w:t>
      </w:r>
      <w:r w:rsidRPr="00997F9B">
        <w:t>delivered through DID4All, CBM Advisory team etc.  This is targeted at the audience who say that even Inclusion Made Easy can be too long and technical.</w:t>
      </w:r>
    </w:p>
    <w:p w14:paraId="300CCC91" w14:textId="2E4263BF" w:rsidR="00845249" w:rsidRPr="00997F9B" w:rsidRDefault="00845249" w:rsidP="00845249">
      <w:pPr>
        <w:pStyle w:val="ListParagraph"/>
        <w:numPr>
          <w:ilvl w:val="1"/>
          <w:numId w:val="21"/>
        </w:numPr>
      </w:pPr>
      <w:r w:rsidRPr="00997F9B">
        <w:t>‘Demystifying’ disability – many may have access or knowledge of basic DID principles, but still lack confidence to actually approach DPOs or address disability within their work</w:t>
      </w:r>
      <w:r w:rsidR="00EA021C">
        <w:t>—particularly out of unfamiliarity or fear of doing it incorrectly or insensitively</w:t>
      </w:r>
      <w:r w:rsidRPr="00997F9B">
        <w:t xml:space="preserve">. </w:t>
      </w:r>
      <w:r w:rsidR="00A84A0D">
        <w:t xml:space="preserve">These practitioners don’t need more DID checklists, they need disability to be demystified. </w:t>
      </w:r>
      <w:r w:rsidRPr="00997F9B">
        <w:t xml:space="preserve">A key to </w:t>
      </w:r>
      <w:r w:rsidR="00A84A0D">
        <w:t xml:space="preserve">doing so </w:t>
      </w:r>
      <w:r w:rsidRPr="00997F9B">
        <w:t xml:space="preserve">is increasing </w:t>
      </w:r>
      <w:r w:rsidR="00153212">
        <w:t>opportunities for</w:t>
      </w:r>
      <w:r w:rsidRPr="00997F9B">
        <w:t xml:space="preserve"> practitio</w:t>
      </w:r>
      <w:r w:rsidR="00A84A0D">
        <w:t xml:space="preserve">ners to </w:t>
      </w:r>
      <w:r w:rsidR="00153212">
        <w:t xml:space="preserve">engage with </w:t>
      </w:r>
      <w:r w:rsidR="00A84A0D">
        <w:t>people with disabilities, e.g. by</w:t>
      </w:r>
      <w:r w:rsidRPr="00997F9B">
        <w:t xml:space="preserve"> ensuring people with disabilities speak at popular sector events, and that that sector is more inclusive so that people with disabilities can be involved/employed more easily.  There appears to be a demand for supporting agencies to work on their internal organisational accessibility capacity. While many resources already exist on this</w:t>
      </w:r>
      <w:r w:rsidR="003475FB">
        <w:t xml:space="preserve"> specific</w:t>
      </w:r>
      <w:r w:rsidRPr="00997F9B">
        <w:t xml:space="preserve"> issue, there is a role for ADDC to </w:t>
      </w:r>
      <w:r w:rsidRPr="00997F9B">
        <w:lastRenderedPageBreak/>
        <w:t>collate these into a ‘hub’ on the website</w:t>
      </w:r>
      <w:r w:rsidR="00153212">
        <w:t xml:space="preserve"> </w:t>
      </w:r>
      <w:r w:rsidRPr="00997F9B">
        <w:t>and promote them widely.</w:t>
      </w:r>
      <w:r w:rsidR="00A84A0D">
        <w:t xml:space="preserve"> Australian DPO members are an important partner in this work</w:t>
      </w:r>
      <w:r w:rsidR="00A4714A">
        <w:t xml:space="preserve"> on providing resources to building internal organisational inclusion</w:t>
      </w:r>
    </w:p>
    <w:p w14:paraId="76109A56" w14:textId="4F2FDB14" w:rsidR="00845249" w:rsidRPr="00997F9B" w:rsidRDefault="00845249" w:rsidP="00845249">
      <w:pPr>
        <w:pStyle w:val="ListParagraph"/>
        <w:numPr>
          <w:ilvl w:val="1"/>
          <w:numId w:val="21"/>
        </w:numPr>
      </w:pPr>
      <w:r w:rsidRPr="00997F9B">
        <w:t>Providing peer support to practitioners who wish to better implement DID within their work an organisations.  A peer support program has been proposed; together with the established ‘Practitioner Interest Forums’ that ADDC has successfully run for many years.</w:t>
      </w:r>
    </w:p>
    <w:p w14:paraId="75FDBB67" w14:textId="1C8A74CA" w:rsidR="00845249" w:rsidRPr="00997F9B" w:rsidRDefault="00845249" w:rsidP="00845249">
      <w:pPr>
        <w:pStyle w:val="ListParagraph"/>
        <w:numPr>
          <w:ilvl w:val="0"/>
          <w:numId w:val="21"/>
        </w:numPr>
      </w:pPr>
      <w:r w:rsidRPr="00997F9B">
        <w:t>Ongoing learning and development on more technical aspects of DID amongst those practicing in the sector</w:t>
      </w:r>
      <w:r w:rsidR="00592335">
        <w:t xml:space="preserve"> e.g. previous examples of the </w:t>
      </w:r>
      <w:r w:rsidR="00592335" w:rsidRPr="00997F9B">
        <w:t xml:space="preserve">Research </w:t>
      </w:r>
      <w:r w:rsidR="00592335">
        <w:t>Sym</w:t>
      </w:r>
      <w:r w:rsidR="00592335" w:rsidRPr="00997F9B">
        <w:t>posium or holding a PIF on disability data and M&amp;</w:t>
      </w:r>
      <w:r w:rsidR="00592335">
        <w:t>E</w:t>
      </w:r>
      <w:r w:rsidR="00592335" w:rsidRPr="00997F9B">
        <w:t xml:space="preserve">. </w:t>
      </w:r>
      <w:r w:rsidR="00592335">
        <w:t>The</w:t>
      </w:r>
      <w:r w:rsidR="00592335" w:rsidRPr="00997F9B">
        <w:t>s</w:t>
      </w:r>
      <w:r w:rsidR="00592335">
        <w:t>e</w:t>
      </w:r>
      <w:r w:rsidR="00592335" w:rsidRPr="00997F9B">
        <w:t xml:space="preserve"> can</w:t>
      </w:r>
      <w:r w:rsidR="00592335">
        <w:t xml:space="preserve"> </w:t>
      </w:r>
      <w:r w:rsidR="00592335" w:rsidRPr="00997F9B">
        <w:t>inform ADDC’s positions and submissions on technical aspects</w:t>
      </w:r>
      <w:r w:rsidRPr="00997F9B">
        <w:t xml:space="preserve">.  Traditionally ADDC often developed resources or events such as PIFs that targeted the sector as a whole; however feedback advised that there needs to be different pitches for the ‘beginners to DID’ vs those who </w:t>
      </w:r>
      <w:r w:rsidR="00592335" w:rsidRPr="00997F9B">
        <w:t>are already practicing DID and have specialised k</w:t>
      </w:r>
      <w:r w:rsidR="00592335">
        <w:t xml:space="preserve">nowledge or expertise in this. This will ensure that each groups’ needs are met and ‘beginners’ are </w:t>
      </w:r>
      <w:r w:rsidRPr="00997F9B">
        <w:t>not intimidate</w:t>
      </w:r>
      <w:r w:rsidR="00592335">
        <w:t>d</w:t>
      </w:r>
      <w:r w:rsidRPr="00997F9B">
        <w:t xml:space="preserve"> or overwhelm</w:t>
      </w:r>
      <w:r w:rsidR="00592335">
        <w:t>ed</w:t>
      </w:r>
      <w:r w:rsidRPr="00997F9B">
        <w:t xml:space="preserve">.  While ADDC’s advocacy and awareness raising focus will perhaps be more strongly on the beginners, there is also a need to capture and facilitate expertise of those more involved as to ensure ADDC’s relevance and credibility. </w:t>
      </w:r>
    </w:p>
    <w:p w14:paraId="220B6511" w14:textId="34F0F40E" w:rsidR="00845249" w:rsidRPr="00997F9B" w:rsidRDefault="00592335" w:rsidP="00592335">
      <w:pPr>
        <w:ind w:right="-359"/>
        <w:rPr>
          <w:b/>
        </w:rPr>
      </w:pPr>
      <w:r>
        <w:rPr>
          <w:b/>
        </w:rPr>
        <w:t xml:space="preserve">To achieve all of the above, there needs to be: </w:t>
      </w:r>
    </w:p>
    <w:p w14:paraId="2A310063" w14:textId="77777777" w:rsidR="00845249" w:rsidRPr="00997F9B" w:rsidRDefault="00845249" w:rsidP="00845249">
      <w:pPr>
        <w:pStyle w:val="ListParagraph"/>
        <w:numPr>
          <w:ilvl w:val="0"/>
          <w:numId w:val="22"/>
        </w:numPr>
        <w:ind w:left="720"/>
      </w:pPr>
      <w:r w:rsidRPr="00997F9B">
        <w:t>Political support for DID, garnered through lobbying, awareness raising and relationship building. Given the crowded political advocacy space around aid and development, this needs to be very strategic and targeted. Activities should focus on:</w:t>
      </w:r>
    </w:p>
    <w:p w14:paraId="34E8AD2F" w14:textId="43F97399" w:rsidR="00845249" w:rsidRPr="00997F9B" w:rsidRDefault="00845249" w:rsidP="00845249">
      <w:pPr>
        <w:pStyle w:val="ListParagraph"/>
        <w:numPr>
          <w:ilvl w:val="1"/>
          <w:numId w:val="22"/>
        </w:numPr>
        <w:ind w:left="1440"/>
      </w:pPr>
      <w:r w:rsidRPr="00997F9B">
        <w:t>Identifying political targets th</w:t>
      </w:r>
      <w:r w:rsidR="00FF6D5D">
        <w:t>at</w:t>
      </w:r>
      <w:r w:rsidRPr="00997F9B">
        <w:t xml:space="preserve"> will be open to the message, briefing/building relationships with these, and calling upon them to undertake key, meaningful actions e.g. questions during Senate Estimates, speeches, raising key policy asks.  These targets should be bipartisan</w:t>
      </w:r>
      <w:r w:rsidRPr="00997F9B">
        <w:rPr>
          <w:i/>
        </w:rPr>
        <w:t xml:space="preserve"> </w:t>
      </w:r>
      <w:r w:rsidRPr="00997F9B">
        <w:t>support.</w:t>
      </w:r>
    </w:p>
    <w:p w14:paraId="5D48A808" w14:textId="77777777" w:rsidR="00845249" w:rsidRPr="00997F9B" w:rsidRDefault="00845249" w:rsidP="00845249">
      <w:pPr>
        <w:pStyle w:val="ListParagraph"/>
        <w:numPr>
          <w:ilvl w:val="1"/>
          <w:numId w:val="22"/>
        </w:numPr>
        <w:ind w:left="1440"/>
      </w:pPr>
      <w:r w:rsidRPr="00997F9B">
        <w:t>Establishing and maintaining strong, mutual relationship with the Minister, which allows ADDC to raise priorities and asks, including providing technical input.</w:t>
      </w:r>
    </w:p>
    <w:p w14:paraId="47633171" w14:textId="3893E5E7" w:rsidR="00845249" w:rsidRPr="00997F9B" w:rsidRDefault="00845249" w:rsidP="00845249">
      <w:pPr>
        <w:pStyle w:val="ListParagraph"/>
        <w:numPr>
          <w:ilvl w:val="0"/>
          <w:numId w:val="22"/>
        </w:numPr>
        <w:ind w:left="720"/>
      </w:pPr>
      <w:r w:rsidRPr="00997F9B">
        <w:t>Strong mutual relationship with DFAT, particularly the Disability Section, which allows ADDC to raise priorities, concerns and asks and provide feedback.</w:t>
      </w:r>
      <w:r w:rsidR="00592335">
        <w:t xml:space="preserve">  ADDC may also decide to take further, more arms length action to ‘hold DFAT accountable’, such as releasing a report of DFAT’s performance against commitments on DID.</w:t>
      </w:r>
    </w:p>
    <w:p w14:paraId="436CA387" w14:textId="770D71C0" w:rsidR="00845249" w:rsidRPr="00997F9B" w:rsidRDefault="00845249" w:rsidP="00845249">
      <w:pPr>
        <w:pStyle w:val="ListParagraph"/>
        <w:numPr>
          <w:ilvl w:val="0"/>
          <w:numId w:val="22"/>
        </w:numPr>
        <w:ind w:left="720"/>
      </w:pPr>
      <w:r w:rsidRPr="00997F9B">
        <w:t>ADDC being a credible collective voice on disability and development issues, with standing to hold DFAT and other players accountable to their commitments.</w:t>
      </w:r>
      <w:r w:rsidR="00592335">
        <w:t xml:space="preserve">  To have the standing required for this, ADDC needs to be seen as the ‘go to’ hub for positions and resources on DID issues.</w:t>
      </w:r>
    </w:p>
    <w:p w14:paraId="39CA45F7" w14:textId="53D48CEC" w:rsidR="00845249" w:rsidRPr="00997F9B" w:rsidRDefault="00845249" w:rsidP="00845249">
      <w:pPr>
        <w:pStyle w:val="ListParagraph"/>
        <w:numPr>
          <w:ilvl w:val="0"/>
          <w:numId w:val="22"/>
        </w:numPr>
        <w:ind w:left="720"/>
      </w:pPr>
      <w:r w:rsidRPr="00997F9B">
        <w:t>ADDC being a source of resources on DID</w:t>
      </w:r>
      <w:r w:rsidR="003475FB">
        <w:t xml:space="preserve">. These include case studies and for beginners, submissions and position statements for advocacy and lobbying, and practice notes/case studies on more technical issues. Care must be taken to not duplicate the wide range of resources already available, and finding ADDC’s niche—the consultation suggested this was in the ‘bite sized resources’ for those starting DID, guidance on internal organisational inclusion, and telling stories of change. </w:t>
      </w:r>
      <w:r w:rsidRPr="00997F9B">
        <w:t xml:space="preserve">These can be disseminated through a range of ways including trainings (especially in collaboration with members such as ACFID), via the website and Bulletin, to submissions and briefings. </w:t>
      </w:r>
    </w:p>
    <w:p w14:paraId="67ABB3E4" w14:textId="27AF68CF" w:rsidR="00845249" w:rsidRPr="00997F9B" w:rsidRDefault="00845249" w:rsidP="00997F9B">
      <w:pPr>
        <w:pStyle w:val="ListParagraph"/>
        <w:numPr>
          <w:ilvl w:val="0"/>
          <w:numId w:val="22"/>
        </w:numPr>
        <w:ind w:left="720"/>
      </w:pPr>
      <w:r w:rsidRPr="00997F9B">
        <w:t>ADDC being internally strong and viable, as to ensure stable and sustainable operations.</w:t>
      </w:r>
      <w:r w:rsidR="00592335">
        <w:t xml:space="preserve">  This includes exploring funding options beyond CBM’s hosting, e.g. sponsorship fees for when we co-host event or co-brand position papers etc.</w:t>
      </w:r>
    </w:p>
    <w:tbl>
      <w:tblPr>
        <w:tblStyle w:val="TableGrid"/>
        <w:tblpPr w:leftFromText="180" w:rightFromText="180" w:vertAnchor="page" w:horzAnchor="margin" w:tblpY="1531"/>
        <w:tblW w:w="13948" w:type="dxa"/>
        <w:tblLook w:val="04A0" w:firstRow="1" w:lastRow="0" w:firstColumn="1" w:lastColumn="0" w:noHBand="0" w:noVBand="1"/>
      </w:tblPr>
      <w:tblGrid>
        <w:gridCol w:w="679"/>
        <w:gridCol w:w="2426"/>
        <w:gridCol w:w="4028"/>
        <w:gridCol w:w="3048"/>
        <w:gridCol w:w="3767"/>
      </w:tblGrid>
      <w:tr w:rsidR="005C3640" w14:paraId="343F9F43" w14:textId="77777777" w:rsidTr="00C8454F">
        <w:trPr>
          <w:trHeight w:val="70"/>
        </w:trPr>
        <w:tc>
          <w:tcPr>
            <w:tcW w:w="13948" w:type="dxa"/>
            <w:gridSpan w:val="5"/>
          </w:tcPr>
          <w:p w14:paraId="0900EFC0" w14:textId="7075E0AF" w:rsidR="005C3640" w:rsidRPr="00667842" w:rsidRDefault="007A52FB" w:rsidP="0062254B">
            <w:pPr>
              <w:spacing w:before="120" w:after="120"/>
              <w:rPr>
                <w:b/>
              </w:rPr>
            </w:pPr>
            <w:r>
              <w:rPr>
                <w:b/>
              </w:rPr>
              <w:lastRenderedPageBreak/>
              <w:t xml:space="preserve">Outcome </w:t>
            </w:r>
            <w:r w:rsidR="005C3640">
              <w:rPr>
                <w:b/>
              </w:rPr>
              <w:t>1</w:t>
            </w:r>
          </w:p>
          <w:p w14:paraId="03FA4BEE" w14:textId="58292E73" w:rsidR="005C3640" w:rsidRDefault="005C3640" w:rsidP="0062254B">
            <w:pPr>
              <w:spacing w:before="120" w:after="120"/>
            </w:pPr>
            <w:r w:rsidRPr="00667842">
              <w:t xml:space="preserve">ADDC’s strong collective voice has resulted in Australian agencies </w:t>
            </w:r>
            <w:r>
              <w:t xml:space="preserve">(including DFAT) </w:t>
            </w:r>
            <w:r w:rsidRPr="00667842">
              <w:t xml:space="preserve">and individuals engaged in international development work having </w:t>
            </w:r>
            <w:r>
              <w:t xml:space="preserve">increased </w:t>
            </w:r>
            <w:r w:rsidRPr="00667842">
              <w:t>accountability to the inclusion and rights of people with disabilities</w:t>
            </w:r>
            <w:r>
              <w:t>.</w:t>
            </w:r>
          </w:p>
        </w:tc>
      </w:tr>
      <w:tr w:rsidR="005C3640" w:rsidRPr="00667842" w14:paraId="43E21326" w14:textId="77777777" w:rsidTr="00597310">
        <w:trPr>
          <w:trHeight w:val="70"/>
        </w:trPr>
        <w:tc>
          <w:tcPr>
            <w:tcW w:w="3105" w:type="dxa"/>
            <w:gridSpan w:val="2"/>
          </w:tcPr>
          <w:p w14:paraId="07CD90DB" w14:textId="16A1037A" w:rsidR="005C3640" w:rsidRPr="00667842" w:rsidRDefault="007A52FB" w:rsidP="0062254B">
            <w:pPr>
              <w:tabs>
                <w:tab w:val="left" w:pos="225"/>
              </w:tabs>
              <w:rPr>
                <w:b/>
              </w:rPr>
            </w:pPr>
            <w:r>
              <w:rPr>
                <w:b/>
              </w:rPr>
              <w:t>Objectives</w:t>
            </w:r>
          </w:p>
        </w:tc>
        <w:tc>
          <w:tcPr>
            <w:tcW w:w="4028" w:type="dxa"/>
          </w:tcPr>
          <w:p w14:paraId="743AC7EB" w14:textId="77777777" w:rsidR="005C3640" w:rsidRPr="00667842" w:rsidRDefault="005C3640" w:rsidP="0062254B">
            <w:pPr>
              <w:tabs>
                <w:tab w:val="left" w:pos="226"/>
              </w:tabs>
              <w:ind w:left="283" w:hanging="283"/>
              <w:rPr>
                <w:b/>
              </w:rPr>
            </w:pPr>
            <w:r w:rsidRPr="00667842">
              <w:rPr>
                <w:b/>
              </w:rPr>
              <w:t>Indicator</w:t>
            </w:r>
            <w:r>
              <w:rPr>
                <w:b/>
              </w:rPr>
              <w:t>s</w:t>
            </w:r>
          </w:p>
        </w:tc>
        <w:tc>
          <w:tcPr>
            <w:tcW w:w="3048" w:type="dxa"/>
          </w:tcPr>
          <w:p w14:paraId="5EF596E2" w14:textId="2FEED5B2" w:rsidR="005C3640" w:rsidRDefault="005C3640" w:rsidP="0062254B">
            <w:pPr>
              <w:ind w:left="260" w:hanging="260"/>
              <w:rPr>
                <w:b/>
              </w:rPr>
            </w:pPr>
            <w:r>
              <w:rPr>
                <w:b/>
              </w:rPr>
              <w:t>Target</w:t>
            </w:r>
          </w:p>
        </w:tc>
        <w:tc>
          <w:tcPr>
            <w:tcW w:w="3767" w:type="dxa"/>
          </w:tcPr>
          <w:p w14:paraId="0E148294" w14:textId="10F6966D" w:rsidR="005C3640" w:rsidRPr="00667842" w:rsidRDefault="005C3640" w:rsidP="0062254B">
            <w:pPr>
              <w:ind w:left="260" w:hanging="260"/>
              <w:rPr>
                <w:b/>
              </w:rPr>
            </w:pPr>
            <w:r>
              <w:rPr>
                <w:b/>
              </w:rPr>
              <w:t>Possible activities</w:t>
            </w:r>
          </w:p>
        </w:tc>
      </w:tr>
      <w:tr w:rsidR="005C3640" w14:paraId="5C08F9B5" w14:textId="77777777" w:rsidTr="00597310">
        <w:tc>
          <w:tcPr>
            <w:tcW w:w="679" w:type="dxa"/>
          </w:tcPr>
          <w:p w14:paraId="53057929" w14:textId="77777777" w:rsidR="005C3640" w:rsidRDefault="005C3640" w:rsidP="0062254B">
            <w:pPr>
              <w:tabs>
                <w:tab w:val="left" w:pos="225"/>
              </w:tabs>
            </w:pPr>
            <w:r>
              <w:t>1.1</w:t>
            </w:r>
          </w:p>
        </w:tc>
        <w:tc>
          <w:tcPr>
            <w:tcW w:w="2426" w:type="dxa"/>
          </w:tcPr>
          <w:p w14:paraId="14060A5D" w14:textId="77777777" w:rsidR="005C3640" w:rsidRDefault="005C3640" w:rsidP="0062254B">
            <w:pPr>
              <w:tabs>
                <w:tab w:val="left" w:pos="225"/>
              </w:tabs>
            </w:pPr>
            <w:r>
              <w:t xml:space="preserve">Increase </w:t>
            </w:r>
            <w:r w:rsidRPr="00EA5977">
              <w:t>active membership</w:t>
            </w:r>
          </w:p>
        </w:tc>
        <w:tc>
          <w:tcPr>
            <w:tcW w:w="4028" w:type="dxa"/>
          </w:tcPr>
          <w:p w14:paraId="46C85DEA" w14:textId="77777777" w:rsidR="005C3640" w:rsidRPr="00ED5E22" w:rsidRDefault="005C3640" w:rsidP="0062254B">
            <w:pPr>
              <w:tabs>
                <w:tab w:val="left" w:pos="226"/>
              </w:tabs>
            </w:pPr>
            <w:r>
              <w:t>Core:</w:t>
            </w:r>
          </w:p>
          <w:p w14:paraId="0FC7A277" w14:textId="51942622" w:rsidR="005C3640" w:rsidRDefault="005C3640" w:rsidP="0062254B">
            <w:pPr>
              <w:numPr>
                <w:ilvl w:val="0"/>
                <w:numId w:val="1"/>
              </w:numPr>
              <w:tabs>
                <w:tab w:val="left" w:pos="226"/>
              </w:tabs>
              <w:ind w:left="283" w:hanging="283"/>
            </w:pPr>
            <w:r>
              <w:t>Increased membership.</w:t>
            </w:r>
          </w:p>
          <w:p w14:paraId="78B07B81" w14:textId="77777777" w:rsidR="005C3640" w:rsidRDefault="005C3640" w:rsidP="0062254B">
            <w:pPr>
              <w:tabs>
                <w:tab w:val="left" w:pos="226"/>
              </w:tabs>
            </w:pPr>
          </w:p>
          <w:p w14:paraId="257F009F" w14:textId="77777777" w:rsidR="005C3640" w:rsidRDefault="005C3640" w:rsidP="0062254B">
            <w:pPr>
              <w:tabs>
                <w:tab w:val="left" w:pos="226"/>
              </w:tabs>
            </w:pPr>
            <w:r>
              <w:t>Success may also be indicated by:</w:t>
            </w:r>
          </w:p>
          <w:p w14:paraId="144797E0" w14:textId="77777777" w:rsidR="005C3640" w:rsidRDefault="005C3640" w:rsidP="0062254B">
            <w:pPr>
              <w:pStyle w:val="ListParagraph"/>
              <w:numPr>
                <w:ilvl w:val="0"/>
                <w:numId w:val="1"/>
              </w:numPr>
              <w:tabs>
                <w:tab w:val="left" w:pos="226"/>
              </w:tabs>
            </w:pPr>
            <w:r>
              <w:t xml:space="preserve">Increase in active involvement from non-Executive members (hosting events, collaborating on resources etc). </w:t>
            </w:r>
          </w:p>
        </w:tc>
        <w:tc>
          <w:tcPr>
            <w:tcW w:w="3048" w:type="dxa"/>
          </w:tcPr>
          <w:p w14:paraId="13C2F691" w14:textId="77777777" w:rsidR="003510B6" w:rsidRDefault="003510B6" w:rsidP="00597310"/>
          <w:p w14:paraId="01EF3519" w14:textId="77777777" w:rsidR="005C3640" w:rsidRDefault="005C3640" w:rsidP="00597310">
            <w:r>
              <w:t>20 new members a year</w:t>
            </w:r>
            <w:r w:rsidR="003510B6">
              <w:t>.</w:t>
            </w:r>
          </w:p>
          <w:p w14:paraId="08500547" w14:textId="77777777" w:rsidR="003510B6" w:rsidRDefault="003510B6" w:rsidP="00597310"/>
          <w:p w14:paraId="3F45ADA3" w14:textId="77777777" w:rsidR="003510B6" w:rsidRDefault="003510B6" w:rsidP="00597310"/>
          <w:p w14:paraId="338AE8B9" w14:textId="240C869B" w:rsidR="003510B6" w:rsidRDefault="003510B6" w:rsidP="003510B6">
            <w:r>
              <w:t>Reflective M&amp;E sessions capture any involvement of non-ExCom members, with aim of increasing these.</w:t>
            </w:r>
          </w:p>
        </w:tc>
        <w:tc>
          <w:tcPr>
            <w:tcW w:w="3767" w:type="dxa"/>
          </w:tcPr>
          <w:p w14:paraId="199A2420" w14:textId="0EAA3A4A" w:rsidR="005C3640" w:rsidRDefault="005C3640" w:rsidP="0062254B">
            <w:pPr>
              <w:numPr>
                <w:ilvl w:val="0"/>
                <w:numId w:val="1"/>
              </w:numPr>
              <w:tabs>
                <w:tab w:val="clear" w:pos="360"/>
                <w:tab w:val="num" w:pos="282"/>
              </w:tabs>
              <w:ind w:left="282" w:hanging="282"/>
            </w:pPr>
            <w:r>
              <w:t>Opportunities for engagement besides attending events and being on ExCom</w:t>
            </w:r>
          </w:p>
          <w:p w14:paraId="4968987F" w14:textId="77777777" w:rsidR="005C3640" w:rsidRDefault="005C3640" w:rsidP="0062254B">
            <w:pPr>
              <w:numPr>
                <w:ilvl w:val="0"/>
                <w:numId w:val="1"/>
              </w:numPr>
              <w:tabs>
                <w:tab w:val="clear" w:pos="360"/>
                <w:tab w:val="num" w:pos="282"/>
              </w:tabs>
              <w:ind w:left="282" w:hanging="282"/>
            </w:pPr>
            <w:r>
              <w:t>Review ADDC membership system (individual vs organisational vs subscription) and clearly articulate value for membership.</w:t>
            </w:r>
          </w:p>
          <w:p w14:paraId="4CAF14CE" w14:textId="77777777" w:rsidR="005C3640" w:rsidRDefault="005C3640" w:rsidP="0062254B">
            <w:pPr>
              <w:numPr>
                <w:ilvl w:val="0"/>
                <w:numId w:val="1"/>
              </w:numPr>
              <w:tabs>
                <w:tab w:val="clear" w:pos="360"/>
                <w:tab w:val="num" w:pos="282"/>
              </w:tabs>
              <w:ind w:left="282" w:hanging="282"/>
            </w:pPr>
            <w:r>
              <w:t>Promote ADDC membership through relevant channels (ACFID, NDS, ID media).</w:t>
            </w:r>
          </w:p>
          <w:p w14:paraId="73BE066A" w14:textId="77777777" w:rsidR="005C3640" w:rsidRDefault="005C3640" w:rsidP="0062254B">
            <w:pPr>
              <w:numPr>
                <w:ilvl w:val="0"/>
                <w:numId w:val="1"/>
              </w:numPr>
              <w:tabs>
                <w:tab w:val="clear" w:pos="360"/>
                <w:tab w:val="num" w:pos="282"/>
              </w:tabs>
              <w:ind w:left="282" w:hanging="282"/>
            </w:pPr>
            <w:r>
              <w:t>ExCom members to promote membership to their contacts and organisations.</w:t>
            </w:r>
          </w:p>
        </w:tc>
      </w:tr>
      <w:tr w:rsidR="005C3640" w14:paraId="05FF8CB8" w14:textId="77777777" w:rsidTr="00597310">
        <w:tc>
          <w:tcPr>
            <w:tcW w:w="679" w:type="dxa"/>
          </w:tcPr>
          <w:p w14:paraId="5F606F7E" w14:textId="77777777" w:rsidR="005C3640" w:rsidRPr="00EA5977" w:rsidRDefault="005C3640" w:rsidP="0062254B">
            <w:pPr>
              <w:tabs>
                <w:tab w:val="left" w:pos="225"/>
              </w:tabs>
            </w:pPr>
            <w:r>
              <w:t>1.2</w:t>
            </w:r>
          </w:p>
        </w:tc>
        <w:tc>
          <w:tcPr>
            <w:tcW w:w="2426" w:type="dxa"/>
          </w:tcPr>
          <w:p w14:paraId="11A20D58" w14:textId="77777777" w:rsidR="005C3640" w:rsidRDefault="005C3640" w:rsidP="0062254B">
            <w:pPr>
              <w:tabs>
                <w:tab w:val="left" w:pos="225"/>
              </w:tabs>
            </w:pPr>
            <w:r>
              <w:t xml:space="preserve">ADDC’s collective voice is informed by the </w:t>
            </w:r>
            <w:r w:rsidRPr="00EA5977">
              <w:t>voice of people with disability and their representative organisations particularly from the region.</w:t>
            </w:r>
          </w:p>
        </w:tc>
        <w:tc>
          <w:tcPr>
            <w:tcW w:w="4028" w:type="dxa"/>
          </w:tcPr>
          <w:p w14:paraId="10E690E9" w14:textId="77777777" w:rsidR="005C3640" w:rsidRDefault="005C3640" w:rsidP="0062254B">
            <w:r>
              <w:t>Core:</w:t>
            </w:r>
          </w:p>
          <w:p w14:paraId="7405EC84" w14:textId="4C3A80EC" w:rsidR="003510B6" w:rsidRDefault="003510B6" w:rsidP="003510B6">
            <w:pPr>
              <w:ind w:left="360"/>
            </w:pPr>
            <w:r>
              <w:t xml:space="preserve">Develop and implement system for regional and national DPOs to have input into ADDC </w:t>
            </w:r>
          </w:p>
          <w:p w14:paraId="7B70AAD5" w14:textId="77777777" w:rsidR="003510B6" w:rsidRDefault="003510B6" w:rsidP="003510B6">
            <w:pPr>
              <w:ind w:left="360"/>
            </w:pPr>
          </w:p>
          <w:p w14:paraId="7917D937" w14:textId="77777777" w:rsidR="005C3640" w:rsidRDefault="005C3640" w:rsidP="0062254B">
            <w:pPr>
              <w:numPr>
                <w:ilvl w:val="0"/>
                <w:numId w:val="1"/>
              </w:numPr>
            </w:pPr>
            <w:r>
              <w:t>DPOs formally represent</w:t>
            </w:r>
            <w:r w:rsidRPr="00EA5977">
              <w:t>ed on the ExCom</w:t>
            </w:r>
            <w:r>
              <w:t>.</w:t>
            </w:r>
          </w:p>
        </w:tc>
        <w:tc>
          <w:tcPr>
            <w:tcW w:w="3048" w:type="dxa"/>
          </w:tcPr>
          <w:p w14:paraId="53EF96C4" w14:textId="77777777" w:rsidR="003510B6" w:rsidRDefault="003510B6" w:rsidP="003510B6">
            <w:pPr>
              <w:pStyle w:val="ListParagraph"/>
              <w:ind w:left="360"/>
            </w:pPr>
          </w:p>
          <w:p w14:paraId="1AD179B9" w14:textId="41649F27" w:rsidR="003510B6" w:rsidRDefault="003510B6" w:rsidP="003510B6">
            <w:r>
              <w:rPr>
                <w:i/>
              </w:rPr>
              <w:t>Ongoing conversation with PDF on this – target TBC pending this</w:t>
            </w:r>
            <w:r w:rsidR="005C3640">
              <w:t>.</w:t>
            </w:r>
          </w:p>
          <w:p w14:paraId="75A83CDD" w14:textId="77777777" w:rsidR="003510B6" w:rsidRDefault="003510B6" w:rsidP="003510B6"/>
          <w:p w14:paraId="1A91BD12" w14:textId="71376846" w:rsidR="003510B6" w:rsidRDefault="003510B6" w:rsidP="003510B6">
            <w:r>
              <w:t>At least 2 DPOs.</w:t>
            </w:r>
          </w:p>
        </w:tc>
        <w:tc>
          <w:tcPr>
            <w:tcW w:w="3767" w:type="dxa"/>
          </w:tcPr>
          <w:p w14:paraId="22F51AAD" w14:textId="730ED1C1" w:rsidR="005C3640" w:rsidRDefault="005C3640" w:rsidP="0062254B">
            <w:pPr>
              <w:pStyle w:val="ListParagraph"/>
              <w:numPr>
                <w:ilvl w:val="0"/>
                <w:numId w:val="1"/>
              </w:numPr>
            </w:pPr>
            <w:r>
              <w:t>Approach and form agreement to regularly engage with regional and national DPOs</w:t>
            </w:r>
          </w:p>
          <w:p w14:paraId="300D36E4" w14:textId="77777777" w:rsidR="005C3640" w:rsidRDefault="005C3640" w:rsidP="0062254B">
            <w:pPr>
              <w:ind w:left="360"/>
            </w:pPr>
          </w:p>
        </w:tc>
      </w:tr>
      <w:tr w:rsidR="005C3640" w14:paraId="0E33C866" w14:textId="77777777" w:rsidTr="00597310">
        <w:tc>
          <w:tcPr>
            <w:tcW w:w="679" w:type="dxa"/>
          </w:tcPr>
          <w:p w14:paraId="37C611B0" w14:textId="77777777" w:rsidR="005C3640" w:rsidRPr="00EA5977" w:rsidRDefault="005C3640" w:rsidP="0062254B">
            <w:pPr>
              <w:tabs>
                <w:tab w:val="left" w:pos="225"/>
              </w:tabs>
            </w:pPr>
            <w:r>
              <w:t>1.3</w:t>
            </w:r>
          </w:p>
        </w:tc>
        <w:tc>
          <w:tcPr>
            <w:tcW w:w="2426" w:type="dxa"/>
          </w:tcPr>
          <w:p w14:paraId="44A1522C" w14:textId="77777777" w:rsidR="005C3640" w:rsidRDefault="005C3640" w:rsidP="0062254B">
            <w:pPr>
              <w:tabs>
                <w:tab w:val="left" w:pos="225"/>
              </w:tabs>
            </w:pPr>
            <w:r w:rsidRPr="00EA5977">
              <w:t>ADDC is recognised as the prominent voice on DID issues</w:t>
            </w:r>
            <w:r>
              <w:t>.</w:t>
            </w:r>
          </w:p>
        </w:tc>
        <w:tc>
          <w:tcPr>
            <w:tcW w:w="4028" w:type="dxa"/>
          </w:tcPr>
          <w:p w14:paraId="7BDA3587" w14:textId="77777777" w:rsidR="005C3640" w:rsidRPr="003510B6" w:rsidRDefault="005C3640" w:rsidP="0062254B">
            <w:r w:rsidRPr="003510B6">
              <w:t>Core:</w:t>
            </w:r>
          </w:p>
          <w:p w14:paraId="6B9B77E4" w14:textId="3E772AB2" w:rsidR="003B5C59" w:rsidRPr="003510B6" w:rsidRDefault="003B5C59" w:rsidP="0062254B">
            <w:pPr>
              <w:pStyle w:val="ListParagraph"/>
              <w:numPr>
                <w:ilvl w:val="0"/>
                <w:numId w:val="1"/>
              </w:numPr>
            </w:pPr>
            <w:r w:rsidRPr="003510B6">
              <w:t xml:space="preserve">ADDC develops resources and materials </w:t>
            </w:r>
            <w:r w:rsidR="003475FB">
              <w:t xml:space="preserve">(e.g. practice notes, case studies, submissions) </w:t>
            </w:r>
            <w:r w:rsidRPr="003510B6">
              <w:t xml:space="preserve">in partnership with members and other organisations. </w:t>
            </w:r>
          </w:p>
          <w:p w14:paraId="44AA8DE0" w14:textId="77777777" w:rsidR="005C3640" w:rsidRPr="003510B6" w:rsidRDefault="005C3640" w:rsidP="003510B6">
            <w:pPr>
              <w:pStyle w:val="ListParagraph"/>
              <w:ind w:left="360"/>
            </w:pPr>
          </w:p>
          <w:p w14:paraId="566BF44D" w14:textId="77777777" w:rsidR="003510B6" w:rsidRDefault="003510B6" w:rsidP="0062254B"/>
          <w:p w14:paraId="5E11AD81" w14:textId="4ED82E10" w:rsidR="005C3640" w:rsidRPr="003510B6" w:rsidRDefault="005C3640" w:rsidP="0062254B">
            <w:r w:rsidRPr="003510B6">
              <w:lastRenderedPageBreak/>
              <w:t>Success may also be indicated by:</w:t>
            </w:r>
          </w:p>
          <w:p w14:paraId="673A139D" w14:textId="77777777" w:rsidR="005C3640" w:rsidRPr="003510B6" w:rsidRDefault="005C3640" w:rsidP="0062254B">
            <w:pPr>
              <w:pStyle w:val="ListParagraph"/>
              <w:numPr>
                <w:ilvl w:val="0"/>
                <w:numId w:val="1"/>
              </w:numPr>
            </w:pPr>
            <w:r w:rsidRPr="003510B6">
              <w:t xml:space="preserve">DFAT, ACFID and others approach ADDC for positions and consultations on key issues. </w:t>
            </w:r>
          </w:p>
        </w:tc>
        <w:tc>
          <w:tcPr>
            <w:tcW w:w="3048" w:type="dxa"/>
          </w:tcPr>
          <w:p w14:paraId="1C3F861E" w14:textId="77777777" w:rsidR="003510B6" w:rsidRDefault="003510B6" w:rsidP="00597310"/>
          <w:p w14:paraId="0B9A544B" w14:textId="77777777" w:rsidR="005C3640" w:rsidRDefault="003B5C59" w:rsidP="00597310">
            <w:r w:rsidRPr="003510B6">
              <w:t>At least 40% of resources and materials developed by ADDC are co-branded/developed in partnership with members.</w:t>
            </w:r>
          </w:p>
          <w:p w14:paraId="375D3DE2" w14:textId="77777777" w:rsidR="003510B6" w:rsidRDefault="003510B6" w:rsidP="00597310"/>
          <w:p w14:paraId="328BC96F" w14:textId="77248390" w:rsidR="003510B6" w:rsidRPr="003510B6" w:rsidRDefault="003510B6" w:rsidP="00597310">
            <w:r>
              <w:t>2 approaches/year</w:t>
            </w:r>
          </w:p>
        </w:tc>
        <w:tc>
          <w:tcPr>
            <w:tcW w:w="3767" w:type="dxa"/>
          </w:tcPr>
          <w:p w14:paraId="3A0F6180" w14:textId="640F1B00" w:rsidR="005C3640" w:rsidRDefault="005C3640" w:rsidP="0062254B">
            <w:pPr>
              <w:pStyle w:val="ListParagraph"/>
              <w:numPr>
                <w:ilvl w:val="0"/>
                <w:numId w:val="1"/>
              </w:numPr>
            </w:pPr>
            <w:r>
              <w:t>Strategy for developing clear and consistent messages and resource development.</w:t>
            </w:r>
          </w:p>
          <w:p w14:paraId="7B1C41D0" w14:textId="55F1D5DB" w:rsidR="005C3640" w:rsidRDefault="005C3640" w:rsidP="0062254B">
            <w:pPr>
              <w:pStyle w:val="ListParagraph"/>
              <w:numPr>
                <w:ilvl w:val="0"/>
                <w:numId w:val="1"/>
              </w:numPr>
            </w:pPr>
            <w:r w:rsidRPr="00EA5977">
              <w:t xml:space="preserve">ADDC responds </w:t>
            </w:r>
            <w:r>
              <w:t xml:space="preserve">as collective voice </w:t>
            </w:r>
            <w:r w:rsidRPr="00EA5977">
              <w:t xml:space="preserve">to relevant </w:t>
            </w:r>
            <w:r w:rsidR="003475FB">
              <w:t xml:space="preserve">political and sector </w:t>
            </w:r>
            <w:r w:rsidRPr="00EA5977">
              <w:t>announcements and developments</w:t>
            </w:r>
            <w:r w:rsidR="003475FB">
              <w:t xml:space="preserve">. </w:t>
            </w:r>
            <w:r w:rsidRPr="00EA5977">
              <w:t xml:space="preserve"> </w:t>
            </w:r>
            <w:r>
              <w:t>.</w:t>
            </w:r>
          </w:p>
          <w:p w14:paraId="0615D25C" w14:textId="77777777" w:rsidR="005C3640" w:rsidRDefault="005C3640" w:rsidP="0062254B">
            <w:pPr>
              <w:pStyle w:val="ListParagraph"/>
              <w:numPr>
                <w:ilvl w:val="0"/>
                <w:numId w:val="1"/>
              </w:numPr>
            </w:pPr>
            <w:r>
              <w:lastRenderedPageBreak/>
              <w:t>Relationship building with members and partners on materials.</w:t>
            </w:r>
          </w:p>
        </w:tc>
      </w:tr>
      <w:tr w:rsidR="005C3640" w14:paraId="35F3A3F4" w14:textId="77777777" w:rsidTr="00597310">
        <w:trPr>
          <w:trHeight w:val="818"/>
        </w:trPr>
        <w:tc>
          <w:tcPr>
            <w:tcW w:w="679" w:type="dxa"/>
            <w:tcBorders>
              <w:bottom w:val="single" w:sz="4" w:space="0" w:color="auto"/>
            </w:tcBorders>
          </w:tcPr>
          <w:p w14:paraId="739BB4A3" w14:textId="77777777" w:rsidR="005C3640" w:rsidRDefault="005C3640" w:rsidP="0062254B">
            <w:pPr>
              <w:tabs>
                <w:tab w:val="left" w:pos="225"/>
              </w:tabs>
            </w:pPr>
            <w:r>
              <w:lastRenderedPageBreak/>
              <w:t>1.4</w:t>
            </w:r>
          </w:p>
        </w:tc>
        <w:tc>
          <w:tcPr>
            <w:tcW w:w="2426" w:type="dxa"/>
            <w:tcBorders>
              <w:bottom w:val="single" w:sz="4" w:space="0" w:color="auto"/>
            </w:tcBorders>
          </w:tcPr>
          <w:p w14:paraId="376DCB46" w14:textId="68E93324" w:rsidR="005C3640" w:rsidRDefault="009450B0" w:rsidP="00997F9B">
            <w:pPr>
              <w:tabs>
                <w:tab w:val="left" w:pos="225"/>
              </w:tabs>
            </w:pPr>
            <w:r>
              <w:t>DFAT (and any other relevant donors</w:t>
            </w:r>
            <w:r w:rsidR="00BB1360">
              <w:t xml:space="preserve"> from time to time</w:t>
            </w:r>
            <w:r>
              <w:t xml:space="preserve">) </w:t>
            </w:r>
            <w:r w:rsidR="005C3640">
              <w:t>are regularly informed about needs and priorities to advance inclusion of people with disabilities in their funded work.</w:t>
            </w:r>
          </w:p>
        </w:tc>
        <w:tc>
          <w:tcPr>
            <w:tcW w:w="4028" w:type="dxa"/>
            <w:tcBorders>
              <w:bottom w:val="single" w:sz="4" w:space="0" w:color="auto"/>
            </w:tcBorders>
          </w:tcPr>
          <w:p w14:paraId="0A1C123A" w14:textId="417FF94C" w:rsidR="005C3640" w:rsidRDefault="001D1BC5" w:rsidP="003510B6">
            <w:pPr>
              <w:tabs>
                <w:tab w:val="left" w:pos="226"/>
              </w:tabs>
              <w:ind w:left="283" w:hanging="283"/>
            </w:pPr>
            <w:r>
              <w:t xml:space="preserve">Strong </w:t>
            </w:r>
            <w:r w:rsidR="009B6598">
              <w:t xml:space="preserve">record of </w:t>
            </w:r>
            <w:r w:rsidR="005C3640">
              <w:t>frank and constructive dialogue between ADDC and DFAT, with the Disability Section and beyond</w:t>
            </w:r>
            <w:r w:rsidR="003510B6">
              <w:t>, that can accommodate both propositional and reactive matters</w:t>
            </w:r>
            <w:r w:rsidR="005C3640">
              <w:t>.</w:t>
            </w:r>
          </w:p>
        </w:tc>
        <w:tc>
          <w:tcPr>
            <w:tcW w:w="3048" w:type="dxa"/>
            <w:tcBorders>
              <w:bottom w:val="single" w:sz="4" w:space="0" w:color="auto"/>
            </w:tcBorders>
          </w:tcPr>
          <w:p w14:paraId="765A749E" w14:textId="4087FC49" w:rsidR="005C3640" w:rsidRPr="003510B6" w:rsidRDefault="003B5C59" w:rsidP="003510B6">
            <w:pPr>
              <w:rPr>
                <w:i/>
              </w:rPr>
            </w:pPr>
            <w:r>
              <w:t xml:space="preserve">Potentially ‘report in’ regular system with DFAT </w:t>
            </w:r>
            <w:r w:rsidRPr="003510B6">
              <w:t>(at least 2 x year)</w:t>
            </w:r>
            <w:r w:rsidR="003510B6">
              <w:t xml:space="preserve"> (</w:t>
            </w:r>
            <w:r w:rsidR="003510B6">
              <w:rPr>
                <w:i/>
              </w:rPr>
              <w:t>this is part of ongoing conversation with DFAT – target TBC pending outcome of this)</w:t>
            </w:r>
          </w:p>
          <w:p w14:paraId="2E31C71F" w14:textId="2016FB9E" w:rsidR="001D1BC5" w:rsidRDefault="001D1BC5" w:rsidP="00597310">
            <w:pPr>
              <w:pStyle w:val="ListParagraph"/>
              <w:ind w:left="360"/>
            </w:pPr>
          </w:p>
        </w:tc>
        <w:tc>
          <w:tcPr>
            <w:tcW w:w="3767" w:type="dxa"/>
            <w:tcBorders>
              <w:bottom w:val="single" w:sz="4" w:space="0" w:color="auto"/>
            </w:tcBorders>
          </w:tcPr>
          <w:p w14:paraId="2B3D3CED" w14:textId="20D9DEFA" w:rsidR="009450B0" w:rsidRDefault="009B6598" w:rsidP="00997F9B">
            <w:pPr>
              <w:pStyle w:val="ListParagraph"/>
              <w:numPr>
                <w:ilvl w:val="0"/>
                <w:numId w:val="1"/>
              </w:numPr>
              <w:tabs>
                <w:tab w:val="num" w:pos="0"/>
              </w:tabs>
            </w:pPr>
            <w:r>
              <w:t xml:space="preserve">Approach </w:t>
            </w:r>
            <w:r w:rsidR="009450B0">
              <w:t>DFAT re establishing more regular reporting/dialogue process.</w:t>
            </w:r>
          </w:p>
          <w:p w14:paraId="71F3EDB8" w14:textId="614BCEB9" w:rsidR="005C3640" w:rsidRDefault="009450B0" w:rsidP="00997F9B">
            <w:pPr>
              <w:pStyle w:val="ListParagraph"/>
              <w:numPr>
                <w:ilvl w:val="0"/>
                <w:numId w:val="1"/>
              </w:numPr>
              <w:tabs>
                <w:tab w:val="num" w:pos="0"/>
              </w:tabs>
            </w:pPr>
            <w:r>
              <w:t xml:space="preserve">Ongoing </w:t>
            </w:r>
            <w:r w:rsidR="00BB1360">
              <w:t xml:space="preserve">informal </w:t>
            </w:r>
            <w:r>
              <w:t>liaison with DFAT.</w:t>
            </w:r>
          </w:p>
        </w:tc>
      </w:tr>
    </w:tbl>
    <w:p w14:paraId="5EE5A812" w14:textId="77777777" w:rsidR="00B72593" w:rsidRDefault="00B72593" w:rsidP="001D2402"/>
    <w:tbl>
      <w:tblPr>
        <w:tblStyle w:val="TableGrid"/>
        <w:tblW w:w="13948" w:type="dxa"/>
        <w:tblLook w:val="04A0" w:firstRow="1" w:lastRow="0" w:firstColumn="1" w:lastColumn="0" w:noHBand="0" w:noVBand="1"/>
      </w:tblPr>
      <w:tblGrid>
        <w:gridCol w:w="672"/>
        <w:gridCol w:w="2442"/>
        <w:gridCol w:w="3969"/>
        <w:gridCol w:w="3185"/>
        <w:gridCol w:w="3680"/>
      </w:tblGrid>
      <w:tr w:rsidR="00DE58F4" w:rsidRPr="00EE0526" w14:paraId="156E0CD9" w14:textId="77777777" w:rsidTr="0047677E">
        <w:tc>
          <w:tcPr>
            <w:tcW w:w="13948" w:type="dxa"/>
            <w:gridSpan w:val="5"/>
          </w:tcPr>
          <w:p w14:paraId="2B6DB1FA" w14:textId="2C4AFE17" w:rsidR="00DE58F4" w:rsidRPr="00EE0526" w:rsidRDefault="007A52FB" w:rsidP="000C24A1">
            <w:pPr>
              <w:spacing w:before="120" w:after="120"/>
              <w:rPr>
                <w:b/>
              </w:rPr>
            </w:pPr>
            <w:r>
              <w:rPr>
                <w:b/>
              </w:rPr>
              <w:t xml:space="preserve">Outcome </w:t>
            </w:r>
            <w:r w:rsidR="00DE58F4" w:rsidRPr="00EE0526">
              <w:rPr>
                <w:b/>
              </w:rPr>
              <w:t>2</w:t>
            </w:r>
          </w:p>
          <w:p w14:paraId="2A518BD4" w14:textId="545645FF" w:rsidR="00DE58F4" w:rsidRPr="00EE0526" w:rsidRDefault="00DE58F4" w:rsidP="005D3011">
            <w:pPr>
              <w:spacing w:before="120" w:after="120"/>
            </w:pPr>
            <w:r>
              <w:t xml:space="preserve">Australian agencies and individuals engaged in international development are adequately supported to embed disability inclusion in their work. </w:t>
            </w:r>
          </w:p>
        </w:tc>
      </w:tr>
      <w:tr w:rsidR="00DE58F4" w:rsidRPr="00EE0526" w14:paraId="3D7ED2BB" w14:textId="77777777" w:rsidTr="00597310">
        <w:tc>
          <w:tcPr>
            <w:tcW w:w="3114" w:type="dxa"/>
            <w:gridSpan w:val="2"/>
          </w:tcPr>
          <w:p w14:paraId="39EFA997" w14:textId="342FE402" w:rsidR="00DE58F4" w:rsidRPr="00EE0526" w:rsidRDefault="00DE58F4" w:rsidP="000C24A1">
            <w:pPr>
              <w:rPr>
                <w:b/>
              </w:rPr>
            </w:pPr>
            <w:r>
              <w:rPr>
                <w:b/>
              </w:rPr>
              <w:t>O</w:t>
            </w:r>
            <w:r w:rsidR="007A52FB">
              <w:rPr>
                <w:b/>
              </w:rPr>
              <w:t>bjectives</w:t>
            </w:r>
          </w:p>
        </w:tc>
        <w:tc>
          <w:tcPr>
            <w:tcW w:w="3969" w:type="dxa"/>
          </w:tcPr>
          <w:p w14:paraId="3A49C7A5" w14:textId="77777777" w:rsidR="00DE58F4" w:rsidRPr="00EE0526" w:rsidRDefault="00DE58F4" w:rsidP="000C24A1">
            <w:pPr>
              <w:rPr>
                <w:b/>
              </w:rPr>
            </w:pPr>
            <w:r w:rsidRPr="00EE0526">
              <w:rPr>
                <w:b/>
              </w:rPr>
              <w:t>Indicator</w:t>
            </w:r>
          </w:p>
        </w:tc>
        <w:tc>
          <w:tcPr>
            <w:tcW w:w="3185" w:type="dxa"/>
          </w:tcPr>
          <w:p w14:paraId="2C9F77FC" w14:textId="77777777" w:rsidR="00DE58F4" w:rsidRPr="00EE0526" w:rsidRDefault="00DE58F4" w:rsidP="000C24A1">
            <w:pPr>
              <w:rPr>
                <w:b/>
              </w:rPr>
            </w:pPr>
          </w:p>
        </w:tc>
        <w:tc>
          <w:tcPr>
            <w:tcW w:w="3680" w:type="dxa"/>
          </w:tcPr>
          <w:p w14:paraId="3B7CCADA" w14:textId="5FD294B3" w:rsidR="00DE58F4" w:rsidRPr="00EE0526" w:rsidRDefault="00DE58F4" w:rsidP="000C24A1">
            <w:pPr>
              <w:rPr>
                <w:b/>
              </w:rPr>
            </w:pPr>
            <w:r w:rsidRPr="00EE0526">
              <w:rPr>
                <w:b/>
              </w:rPr>
              <w:t>Activity</w:t>
            </w:r>
          </w:p>
        </w:tc>
      </w:tr>
      <w:tr w:rsidR="00DE58F4" w14:paraId="6AAE07E6" w14:textId="77777777" w:rsidTr="00597310">
        <w:tc>
          <w:tcPr>
            <w:tcW w:w="672" w:type="dxa"/>
            <w:tcBorders>
              <w:bottom w:val="single" w:sz="4" w:space="0" w:color="auto"/>
            </w:tcBorders>
          </w:tcPr>
          <w:p w14:paraId="456718FD" w14:textId="77777777" w:rsidR="00DE58F4" w:rsidRPr="00EA5977" w:rsidRDefault="00DE58F4" w:rsidP="000C24A1">
            <w:pPr>
              <w:tabs>
                <w:tab w:val="left" w:pos="225"/>
              </w:tabs>
            </w:pPr>
            <w:r>
              <w:t>2.1</w:t>
            </w:r>
          </w:p>
        </w:tc>
        <w:tc>
          <w:tcPr>
            <w:tcW w:w="2442" w:type="dxa"/>
            <w:tcBorders>
              <w:bottom w:val="single" w:sz="4" w:space="0" w:color="auto"/>
            </w:tcBorders>
          </w:tcPr>
          <w:p w14:paraId="11F57C32" w14:textId="39A61FA8" w:rsidR="00DE58F4" w:rsidRDefault="00DE58F4" w:rsidP="00B14866">
            <w:pPr>
              <w:tabs>
                <w:tab w:val="left" w:pos="225"/>
              </w:tabs>
            </w:pPr>
            <w:r>
              <w:t xml:space="preserve">Through lobbying and meaningful, constructive relationships, DFAT </w:t>
            </w:r>
            <w:r w:rsidR="004F7CD4">
              <w:t xml:space="preserve">and political leaders </w:t>
            </w:r>
            <w:r>
              <w:t>are encouraged and supported to increase commitment to DID.</w:t>
            </w:r>
          </w:p>
          <w:p w14:paraId="45507E76" w14:textId="77777777" w:rsidR="00DE58F4" w:rsidRDefault="00DE58F4" w:rsidP="00B14866">
            <w:pPr>
              <w:tabs>
                <w:tab w:val="left" w:pos="225"/>
              </w:tabs>
            </w:pPr>
          </w:p>
          <w:p w14:paraId="1F367F93" w14:textId="4BD1471E" w:rsidR="00DE58F4" w:rsidRDefault="00DE58F4" w:rsidP="00A617BC">
            <w:pPr>
              <w:tabs>
                <w:tab w:val="left" w:pos="225"/>
              </w:tabs>
            </w:pPr>
            <w:r>
              <w:t xml:space="preserve"> </w:t>
            </w:r>
          </w:p>
        </w:tc>
        <w:tc>
          <w:tcPr>
            <w:tcW w:w="3969" w:type="dxa"/>
            <w:tcBorders>
              <w:bottom w:val="single" w:sz="4" w:space="0" w:color="auto"/>
            </w:tcBorders>
          </w:tcPr>
          <w:p w14:paraId="08C8DFD4" w14:textId="77777777" w:rsidR="00DE58F4" w:rsidRDefault="00DE58F4" w:rsidP="00ED5E22">
            <w:r>
              <w:t>Core:</w:t>
            </w:r>
          </w:p>
          <w:p w14:paraId="7306AC0B" w14:textId="692A2D1B" w:rsidR="00DE58F4" w:rsidRDefault="00DE58F4" w:rsidP="000C24A1">
            <w:pPr>
              <w:numPr>
                <w:ilvl w:val="0"/>
                <w:numId w:val="1"/>
              </w:numPr>
            </w:pPr>
            <w:r>
              <w:t>ADDC identifies and builds relationships with key political targets.</w:t>
            </w:r>
          </w:p>
          <w:p w14:paraId="3A903F75" w14:textId="32945E88" w:rsidR="00DE58F4" w:rsidRDefault="003112DA" w:rsidP="003510B6">
            <w:pPr>
              <w:numPr>
                <w:ilvl w:val="0"/>
                <w:numId w:val="1"/>
              </w:numPr>
            </w:pPr>
            <w:r>
              <w:t>ADDC builds and maintains constructive relationship with Minister and Shadow Minister for International Development and the Pacific.</w:t>
            </w:r>
          </w:p>
          <w:p w14:paraId="31A47E45" w14:textId="77777777" w:rsidR="00DE58F4" w:rsidRDefault="00DE58F4" w:rsidP="004604CA">
            <w:pPr>
              <w:ind w:left="360"/>
            </w:pPr>
          </w:p>
          <w:p w14:paraId="57A63AE0" w14:textId="5F84D1BB" w:rsidR="003510B6" w:rsidRDefault="00DE58F4" w:rsidP="003510B6">
            <w:r>
              <w:t xml:space="preserve">Success </w:t>
            </w:r>
            <w:r w:rsidRPr="003510B6">
              <w:t>may also be indicated by:</w:t>
            </w:r>
          </w:p>
          <w:p w14:paraId="346EEAA7" w14:textId="19EDECE8" w:rsidR="00DE58F4" w:rsidRPr="003510B6" w:rsidRDefault="00DE58F4" w:rsidP="003510B6">
            <w:pPr>
              <w:pStyle w:val="ListParagraph"/>
              <w:numPr>
                <w:ilvl w:val="0"/>
                <w:numId w:val="26"/>
              </w:numPr>
            </w:pPr>
            <w:r w:rsidRPr="003510B6">
              <w:t>Demonstrated practice of DID in the</w:t>
            </w:r>
            <w:r>
              <w:t xml:space="preserve"> Performance </w:t>
            </w:r>
            <w:r w:rsidR="003510B6">
              <w:t>of Australian Aid report across different sector programs.</w:t>
            </w:r>
          </w:p>
          <w:p w14:paraId="1E2CC5F6" w14:textId="6E1F6148" w:rsidR="009974E3" w:rsidRPr="00EA5977" w:rsidRDefault="00597310" w:rsidP="009974E3">
            <w:pPr>
              <w:numPr>
                <w:ilvl w:val="0"/>
                <w:numId w:val="1"/>
              </w:numPr>
            </w:pPr>
            <w:r>
              <w:t>R</w:t>
            </w:r>
            <w:r w:rsidR="009974E3" w:rsidRPr="00EA5977">
              <w:t>enew</w:t>
            </w:r>
            <w:r w:rsidR="009974E3">
              <w:t>ed, bipartisan</w:t>
            </w:r>
            <w:r w:rsidR="009974E3" w:rsidRPr="00EA5977">
              <w:t xml:space="preserve"> commitment to </w:t>
            </w:r>
            <w:r w:rsidR="009974E3">
              <w:t>Development For All 3.</w:t>
            </w:r>
          </w:p>
          <w:p w14:paraId="16D8AAE3" w14:textId="77777777" w:rsidR="009974E3" w:rsidRDefault="009974E3" w:rsidP="009974E3">
            <w:pPr>
              <w:numPr>
                <w:ilvl w:val="0"/>
                <w:numId w:val="1"/>
              </w:numPr>
            </w:pPr>
            <w:r w:rsidRPr="00EA5977">
              <w:lastRenderedPageBreak/>
              <w:t>Expenditure to disability as a proportion of overall aid budget remain</w:t>
            </w:r>
            <w:r>
              <w:t>s or increases (currently $12.9 mil).</w:t>
            </w:r>
          </w:p>
          <w:p w14:paraId="4C9365DF" w14:textId="346768D6" w:rsidR="009974E3" w:rsidRPr="00597310" w:rsidRDefault="009974E3" w:rsidP="009974E3">
            <w:pPr>
              <w:numPr>
                <w:ilvl w:val="0"/>
                <w:numId w:val="1"/>
              </w:numPr>
            </w:pPr>
            <w:r>
              <w:t>DFAT increasing the mandatory reporting around disability in their tenders, contracts and reporting.</w:t>
            </w:r>
          </w:p>
        </w:tc>
        <w:tc>
          <w:tcPr>
            <w:tcW w:w="3185" w:type="dxa"/>
            <w:tcBorders>
              <w:bottom w:val="single" w:sz="4" w:space="0" w:color="auto"/>
            </w:tcBorders>
          </w:tcPr>
          <w:p w14:paraId="63A84B00" w14:textId="77777777" w:rsidR="00DE58F4" w:rsidRDefault="00DE58F4" w:rsidP="003510B6"/>
          <w:p w14:paraId="3D326177" w14:textId="116537CB" w:rsidR="003510B6" w:rsidRDefault="00983557" w:rsidP="003510B6">
            <w:r>
              <w:t>Meaningful c</w:t>
            </w:r>
            <w:r w:rsidR="003510B6" w:rsidRPr="003510B6">
              <w:t>orrespondence</w:t>
            </w:r>
            <w:r>
              <w:t xml:space="preserve"> with 6-10 targeted politicians / year</w:t>
            </w:r>
            <w:r w:rsidR="003510B6" w:rsidRPr="003510B6">
              <w:t>.</w:t>
            </w:r>
          </w:p>
          <w:p w14:paraId="1EC7D252" w14:textId="77777777" w:rsidR="003510B6" w:rsidRDefault="003510B6" w:rsidP="003510B6"/>
          <w:p w14:paraId="4766D8B4" w14:textId="77777777" w:rsidR="003510B6" w:rsidRDefault="003510B6" w:rsidP="003510B6">
            <w:r>
              <w:t>Correspondence with Minister and Shadow Minister at least 2 / year.</w:t>
            </w:r>
          </w:p>
          <w:p w14:paraId="08C9000C" w14:textId="77777777" w:rsidR="003510B6" w:rsidRDefault="003510B6" w:rsidP="003510B6"/>
          <w:p w14:paraId="5E9263A4" w14:textId="77777777" w:rsidR="003510B6" w:rsidRDefault="003510B6" w:rsidP="003510B6"/>
          <w:p w14:paraId="38711CF5" w14:textId="77777777" w:rsidR="003510B6" w:rsidRDefault="003510B6" w:rsidP="003510B6"/>
          <w:p w14:paraId="0A776545" w14:textId="77777777" w:rsidR="003510B6" w:rsidRDefault="003510B6" w:rsidP="003510B6"/>
          <w:p w14:paraId="767671EA" w14:textId="77777777" w:rsidR="003510B6" w:rsidRDefault="003510B6" w:rsidP="003510B6">
            <w:r>
              <w:t>4 mentions of disability in sections other than DID section.</w:t>
            </w:r>
          </w:p>
          <w:p w14:paraId="5FBC638A" w14:textId="77777777" w:rsidR="003510B6" w:rsidRDefault="003510B6" w:rsidP="003510B6"/>
          <w:p w14:paraId="683E94D4" w14:textId="77777777" w:rsidR="003510B6" w:rsidRDefault="003510B6" w:rsidP="003510B6">
            <w:r>
              <w:t>As per indicator.</w:t>
            </w:r>
          </w:p>
          <w:p w14:paraId="12E9B579" w14:textId="77777777" w:rsidR="003510B6" w:rsidRDefault="003510B6" w:rsidP="003510B6"/>
          <w:p w14:paraId="0A6CEEAB" w14:textId="77777777" w:rsidR="003510B6" w:rsidRDefault="003510B6" w:rsidP="003510B6">
            <w:r>
              <w:t>As per indicator.</w:t>
            </w:r>
          </w:p>
          <w:p w14:paraId="577BEEC9" w14:textId="77777777" w:rsidR="003510B6" w:rsidRDefault="003510B6" w:rsidP="003510B6"/>
          <w:p w14:paraId="1C83B540" w14:textId="77777777" w:rsidR="003510B6" w:rsidRDefault="003510B6" w:rsidP="003510B6"/>
          <w:p w14:paraId="6E8C561E" w14:textId="77777777" w:rsidR="003510B6" w:rsidRDefault="003510B6" w:rsidP="003510B6"/>
          <w:p w14:paraId="0D1B5CCC" w14:textId="4C4B671F" w:rsidR="003510B6" w:rsidRPr="003510B6" w:rsidRDefault="003510B6" w:rsidP="003510B6">
            <w:r>
              <w:t>As per indicator.</w:t>
            </w:r>
          </w:p>
        </w:tc>
        <w:tc>
          <w:tcPr>
            <w:tcW w:w="3680" w:type="dxa"/>
            <w:tcBorders>
              <w:bottom w:val="single" w:sz="4" w:space="0" w:color="auto"/>
            </w:tcBorders>
          </w:tcPr>
          <w:p w14:paraId="4DB8073C" w14:textId="7CCADA08" w:rsidR="00DE58F4" w:rsidRDefault="00DE58F4" w:rsidP="000C24A1">
            <w:pPr>
              <w:pStyle w:val="ListParagraph"/>
              <w:numPr>
                <w:ilvl w:val="0"/>
                <w:numId w:val="1"/>
              </w:numPr>
              <w:tabs>
                <w:tab w:val="clear" w:pos="360"/>
                <w:tab w:val="num" w:pos="0"/>
              </w:tabs>
            </w:pPr>
            <w:r>
              <w:lastRenderedPageBreak/>
              <w:t>Develop and implement political engagement strategy/election strategy.</w:t>
            </w:r>
          </w:p>
          <w:p w14:paraId="27FA5FDE" w14:textId="77777777" w:rsidR="00DE58F4" w:rsidRDefault="00DE58F4" w:rsidP="000C24A1">
            <w:pPr>
              <w:pStyle w:val="ListParagraph"/>
              <w:numPr>
                <w:ilvl w:val="0"/>
                <w:numId w:val="1"/>
              </w:numPr>
              <w:tabs>
                <w:tab w:val="clear" w:pos="360"/>
                <w:tab w:val="num" w:pos="0"/>
              </w:tabs>
            </w:pPr>
            <w:r>
              <w:t>Research into current expenditure, performance in Australian Aid report etc; advocacy around increase.</w:t>
            </w:r>
          </w:p>
          <w:p w14:paraId="4B3C7DAC" w14:textId="77777777" w:rsidR="00DE58F4" w:rsidRDefault="00DE58F4" w:rsidP="000C24A1">
            <w:pPr>
              <w:pStyle w:val="ListParagraph"/>
              <w:numPr>
                <w:ilvl w:val="0"/>
                <w:numId w:val="1"/>
              </w:numPr>
              <w:tabs>
                <w:tab w:val="clear" w:pos="360"/>
                <w:tab w:val="num" w:pos="0"/>
              </w:tabs>
            </w:pPr>
            <w:r>
              <w:t>Develop DFAT engagement strategy – process for regular meetings, reactive work, propositional work; propose more regular engagement to DFAT.</w:t>
            </w:r>
          </w:p>
        </w:tc>
      </w:tr>
      <w:tr w:rsidR="00DE58F4" w14:paraId="1DCFA920" w14:textId="77777777" w:rsidTr="00C233C8">
        <w:tc>
          <w:tcPr>
            <w:tcW w:w="672" w:type="dxa"/>
          </w:tcPr>
          <w:p w14:paraId="34BA08F4" w14:textId="77777777" w:rsidR="00DE58F4" w:rsidRDefault="00DE58F4" w:rsidP="000C24A1">
            <w:r>
              <w:t>2.3</w:t>
            </w:r>
          </w:p>
        </w:tc>
        <w:tc>
          <w:tcPr>
            <w:tcW w:w="2442" w:type="dxa"/>
          </w:tcPr>
          <w:p w14:paraId="5FF652B4" w14:textId="77777777" w:rsidR="00DE58F4" w:rsidRDefault="00DE58F4" w:rsidP="000C24A1">
            <w:r>
              <w:t>Practitioners are more aware of and feel supported to implement basics of disability inclusion in ID work.</w:t>
            </w:r>
          </w:p>
        </w:tc>
        <w:tc>
          <w:tcPr>
            <w:tcW w:w="3969" w:type="dxa"/>
          </w:tcPr>
          <w:p w14:paraId="07CFA9F9" w14:textId="77777777" w:rsidR="00DE58F4" w:rsidRPr="00983557" w:rsidRDefault="00DE58F4" w:rsidP="00326261">
            <w:r w:rsidRPr="00983557">
              <w:t>Core:</w:t>
            </w:r>
          </w:p>
          <w:p w14:paraId="44B85C1F" w14:textId="232D5DFA" w:rsidR="00DE58F4" w:rsidRPr="00983557" w:rsidRDefault="00DE58F4" w:rsidP="00326261">
            <w:pPr>
              <w:pStyle w:val="ListParagraph"/>
              <w:numPr>
                <w:ilvl w:val="0"/>
                <w:numId w:val="15"/>
              </w:numPr>
            </w:pPr>
            <w:r w:rsidRPr="00983557">
              <w:t>Disability sections/ mainstream sector training or learning session</w:t>
            </w:r>
            <w:r w:rsidR="003112DA" w:rsidRPr="00983557">
              <w:t>s</w:t>
            </w:r>
            <w:r w:rsidR="00FF6D5D">
              <w:t xml:space="preserve"> </w:t>
            </w:r>
            <w:r w:rsidRPr="00983557">
              <w:t xml:space="preserve">e.g. ACFID induction training, ACFID Conference, webinars or seminars. </w:t>
            </w:r>
          </w:p>
          <w:p w14:paraId="6FB2E09C" w14:textId="77777777" w:rsidR="00DE58F4" w:rsidRPr="00983557" w:rsidRDefault="00DE58F4" w:rsidP="000C24A1"/>
          <w:p w14:paraId="3C5FA839" w14:textId="77777777" w:rsidR="00DE58F4" w:rsidRPr="00983557" w:rsidRDefault="00DE58F4" w:rsidP="000C24A1">
            <w:r w:rsidRPr="00983557">
              <w:t>Success may also be indicated by:</w:t>
            </w:r>
          </w:p>
          <w:p w14:paraId="3CC56DBF" w14:textId="44FC040A" w:rsidR="00DE58F4" w:rsidRPr="00983557" w:rsidRDefault="00C233C8" w:rsidP="000C24A1">
            <w:pPr>
              <w:pStyle w:val="ListParagraph"/>
              <w:numPr>
                <w:ilvl w:val="0"/>
                <w:numId w:val="15"/>
              </w:numPr>
            </w:pPr>
            <w:r w:rsidRPr="00983557">
              <w:t>Members report finding the resources useful and relevant in the annual membership survey</w:t>
            </w:r>
            <w:r w:rsidR="00DE58F4" w:rsidRPr="00983557">
              <w:t>.</w:t>
            </w:r>
          </w:p>
          <w:p w14:paraId="43F34855" w14:textId="77777777" w:rsidR="004F7CD4" w:rsidRDefault="00C233C8" w:rsidP="00C233C8">
            <w:pPr>
              <w:pStyle w:val="ListParagraph"/>
              <w:numPr>
                <w:ilvl w:val="0"/>
                <w:numId w:val="15"/>
              </w:numPr>
            </w:pPr>
            <w:r w:rsidRPr="00983557">
              <w:t>Participants in ADDC facilitated training or learning sessions, or other programs such as a peer support program, report feeling more supported to implement the basic</w:t>
            </w:r>
            <w:r w:rsidR="00FF6D5D">
              <w:t>s</w:t>
            </w:r>
            <w:r w:rsidRPr="00983557">
              <w:t xml:space="preserve"> of disability inclusion in their work.</w:t>
            </w:r>
          </w:p>
          <w:p w14:paraId="7D100675" w14:textId="268EA531" w:rsidR="00DE58F4" w:rsidRPr="00983557" w:rsidRDefault="004F7CD4" w:rsidP="00C233C8">
            <w:pPr>
              <w:pStyle w:val="ListParagraph"/>
              <w:numPr>
                <w:ilvl w:val="0"/>
                <w:numId w:val="15"/>
              </w:numPr>
            </w:pPr>
            <w:r>
              <w:t>Increased engagement with managing contractors.</w:t>
            </w:r>
            <w:r w:rsidR="00C233C8" w:rsidRPr="00983557">
              <w:t xml:space="preserve"> </w:t>
            </w:r>
          </w:p>
        </w:tc>
        <w:tc>
          <w:tcPr>
            <w:tcW w:w="3185" w:type="dxa"/>
          </w:tcPr>
          <w:p w14:paraId="49E5DFF8" w14:textId="77777777" w:rsidR="00983557" w:rsidRPr="00983557" w:rsidRDefault="00983557" w:rsidP="003112DA"/>
          <w:p w14:paraId="4FA25C23" w14:textId="731A1007" w:rsidR="00DE58F4" w:rsidRPr="00983557" w:rsidRDefault="003112DA" w:rsidP="003112DA">
            <w:r w:rsidRPr="00983557">
              <w:t xml:space="preserve">2 sector training / learning sessions per year. </w:t>
            </w:r>
          </w:p>
          <w:p w14:paraId="0EF0D01C" w14:textId="12CDF7A7" w:rsidR="00D67B95" w:rsidRPr="00983557" w:rsidRDefault="00D67B95" w:rsidP="003112DA"/>
          <w:p w14:paraId="27C4A926" w14:textId="77777777" w:rsidR="00D67B95" w:rsidRPr="00983557" w:rsidRDefault="00D67B95" w:rsidP="003112DA"/>
          <w:p w14:paraId="31AF0741" w14:textId="77777777" w:rsidR="00D67B95" w:rsidRPr="00983557" w:rsidRDefault="00D67B95" w:rsidP="003112DA"/>
          <w:p w14:paraId="3E5AA493" w14:textId="77777777" w:rsidR="00D67B95" w:rsidRPr="00983557" w:rsidRDefault="00D67B95" w:rsidP="003112DA"/>
          <w:p w14:paraId="64F99230" w14:textId="77777777" w:rsidR="00D67B95" w:rsidRPr="00983557" w:rsidRDefault="00D67B95" w:rsidP="00983557">
            <w:r w:rsidRPr="00983557">
              <w:t>Over 50% of survey participants report this.</w:t>
            </w:r>
          </w:p>
          <w:p w14:paraId="0CCA1688" w14:textId="77777777" w:rsidR="00D67B95" w:rsidRPr="00983557" w:rsidRDefault="00D67B95" w:rsidP="00997F9B"/>
          <w:p w14:paraId="7ABDB174" w14:textId="77777777" w:rsidR="00D67B95" w:rsidRDefault="00D67B95" w:rsidP="00983557">
            <w:r w:rsidRPr="00983557">
              <w:t>Over 60% of participants report this.</w:t>
            </w:r>
          </w:p>
          <w:p w14:paraId="69048CEF" w14:textId="77777777" w:rsidR="004F7CD4" w:rsidRDefault="004F7CD4" w:rsidP="00983557"/>
          <w:p w14:paraId="67C53E9E" w14:textId="77777777" w:rsidR="004F7CD4" w:rsidRDefault="004F7CD4" w:rsidP="00983557"/>
          <w:p w14:paraId="1B5C12C2" w14:textId="77777777" w:rsidR="004F7CD4" w:rsidRDefault="004F7CD4" w:rsidP="00983557"/>
          <w:p w14:paraId="4B287C57" w14:textId="06FFB605" w:rsidR="004F7CD4" w:rsidRPr="00983557" w:rsidRDefault="004F7CD4" w:rsidP="00983557">
            <w:r>
              <w:t>To be captured and tracked through M&amp;E reflective sessions.</w:t>
            </w:r>
          </w:p>
        </w:tc>
        <w:tc>
          <w:tcPr>
            <w:tcW w:w="3680" w:type="dxa"/>
          </w:tcPr>
          <w:p w14:paraId="6AD4C10B" w14:textId="36B14ECA" w:rsidR="00DE58F4" w:rsidRDefault="00DE58F4" w:rsidP="00F02A9E">
            <w:r>
              <w:t xml:space="preserve"> Work with ACFID, DevPolicy, universities, other relevant players to include disability content in their training, events and webinars.</w:t>
            </w:r>
          </w:p>
          <w:p w14:paraId="7EFEBDA6" w14:textId="77777777" w:rsidR="00DE58F4" w:rsidRDefault="00DE58F4" w:rsidP="00F02A9E"/>
          <w:p w14:paraId="0DBE96D9" w14:textId="77777777" w:rsidR="00DE58F4" w:rsidRDefault="00DE58F4" w:rsidP="00F02A9E">
            <w:r>
              <w:t>Develop hub of basic, entry level resources (‘bite sized resources’) for beginners to sector on website.</w:t>
            </w:r>
          </w:p>
          <w:p w14:paraId="63ADBAF4" w14:textId="77777777" w:rsidR="00DE58F4" w:rsidRDefault="00DE58F4" w:rsidP="00F02A9E"/>
          <w:p w14:paraId="34818680" w14:textId="77777777" w:rsidR="004F7CD4" w:rsidRDefault="00D67B95" w:rsidP="00F02A9E">
            <w:r>
              <w:t>Initiatives to engage with and empower disability point people in organisations – particularly scope feasibility of a peer support program.</w:t>
            </w:r>
          </w:p>
          <w:p w14:paraId="3CC50E03" w14:textId="77777777" w:rsidR="004F7CD4" w:rsidRDefault="004F7CD4" w:rsidP="00F02A9E"/>
          <w:p w14:paraId="2569B386" w14:textId="3519357E" w:rsidR="004F7CD4" w:rsidRPr="00A4714A" w:rsidRDefault="004F7CD4" w:rsidP="004F7CD4">
            <w:pPr>
              <w:pStyle w:val="CommentText"/>
              <w:rPr>
                <w:sz w:val="22"/>
                <w:szCs w:val="22"/>
              </w:rPr>
            </w:pPr>
            <w:r w:rsidRPr="00A4714A">
              <w:rPr>
                <w:sz w:val="22"/>
                <w:szCs w:val="22"/>
              </w:rPr>
              <w:t xml:space="preserve">Scoping exercise to identify what is being done through managing contractors and how ADDC can support their greater DID practice. </w:t>
            </w:r>
          </w:p>
          <w:p w14:paraId="1AE9FE5B" w14:textId="131F8F31" w:rsidR="00DE58F4" w:rsidRDefault="00DE58F4" w:rsidP="00F02A9E"/>
        </w:tc>
      </w:tr>
      <w:tr w:rsidR="00DE58F4" w14:paraId="05B89B43" w14:textId="77777777" w:rsidTr="00983557">
        <w:tc>
          <w:tcPr>
            <w:tcW w:w="672" w:type="dxa"/>
          </w:tcPr>
          <w:p w14:paraId="4297EFB7" w14:textId="77777777" w:rsidR="00DE58F4" w:rsidRDefault="00DE58F4" w:rsidP="000C24A1">
            <w:r>
              <w:t>2.4</w:t>
            </w:r>
          </w:p>
        </w:tc>
        <w:tc>
          <w:tcPr>
            <w:tcW w:w="2442" w:type="dxa"/>
          </w:tcPr>
          <w:p w14:paraId="59D41712" w14:textId="77777777" w:rsidR="00DE58F4" w:rsidRDefault="00DE58F4" w:rsidP="000C24A1">
            <w:r>
              <w:t>‘Demystifying disability’: practitioners have more opportunity to engage with people with disabilities</w:t>
            </w:r>
          </w:p>
        </w:tc>
        <w:tc>
          <w:tcPr>
            <w:tcW w:w="3969" w:type="dxa"/>
            <w:shd w:val="clear" w:color="auto" w:fill="FFFFFF" w:themeFill="background1"/>
          </w:tcPr>
          <w:p w14:paraId="3885F457" w14:textId="77777777" w:rsidR="00DE58F4" w:rsidRPr="00983557" w:rsidRDefault="00DE58F4" w:rsidP="00292A26">
            <w:r w:rsidRPr="00983557">
              <w:t>Core:</w:t>
            </w:r>
          </w:p>
          <w:p w14:paraId="02E40135" w14:textId="7C22335D" w:rsidR="003112DA" w:rsidRPr="00983557" w:rsidRDefault="00DE58F4" w:rsidP="000C24A1">
            <w:pPr>
              <w:pStyle w:val="ListParagraph"/>
              <w:numPr>
                <w:ilvl w:val="0"/>
                <w:numId w:val="13"/>
              </w:numPr>
            </w:pPr>
            <w:r w:rsidRPr="00983557">
              <w:t xml:space="preserve">People with disabilities </w:t>
            </w:r>
            <w:r w:rsidR="003112DA" w:rsidRPr="00983557">
              <w:t xml:space="preserve">from Australia and developing countries </w:t>
            </w:r>
            <w:r w:rsidRPr="00983557">
              <w:t>speaking</w:t>
            </w:r>
            <w:r w:rsidR="003112DA" w:rsidRPr="00983557">
              <w:t xml:space="preserve"> at sector events. </w:t>
            </w:r>
            <w:r w:rsidRPr="00983557">
              <w:t xml:space="preserve"> </w:t>
            </w:r>
          </w:p>
          <w:p w14:paraId="05FB8F8A" w14:textId="659D5531" w:rsidR="00DE58F4" w:rsidRPr="00983557" w:rsidRDefault="003112DA" w:rsidP="000C24A1">
            <w:pPr>
              <w:pStyle w:val="ListParagraph"/>
              <w:numPr>
                <w:ilvl w:val="0"/>
                <w:numId w:val="13"/>
              </w:numPr>
            </w:pPr>
            <w:r w:rsidRPr="00983557">
              <w:t xml:space="preserve">Development of </w:t>
            </w:r>
            <w:r w:rsidR="00A04351" w:rsidRPr="00983557">
              <w:t>hub of resources on ADDC website regarding internal organisational inclusion</w:t>
            </w:r>
            <w:r w:rsidR="00C233C8" w:rsidRPr="00983557">
              <w:t xml:space="preserve">, which members report to be </w:t>
            </w:r>
            <w:r w:rsidR="00C233C8" w:rsidRPr="00983557">
              <w:lastRenderedPageBreak/>
              <w:t>useful and relevant in the annual membership survey</w:t>
            </w:r>
            <w:r w:rsidR="00A04351" w:rsidRPr="00983557">
              <w:t xml:space="preserve">. </w:t>
            </w:r>
          </w:p>
          <w:p w14:paraId="1EBE641F" w14:textId="77777777" w:rsidR="00DE58F4" w:rsidRPr="00983557" w:rsidRDefault="00DE58F4" w:rsidP="00292A26">
            <w:pPr>
              <w:pStyle w:val="ListParagraph"/>
            </w:pPr>
          </w:p>
          <w:p w14:paraId="0913BB94" w14:textId="77777777" w:rsidR="00DE58F4" w:rsidRPr="00983557" w:rsidRDefault="00DE58F4" w:rsidP="000C24A1">
            <w:r w:rsidRPr="00983557">
              <w:t>Success may also be indicated by:</w:t>
            </w:r>
          </w:p>
          <w:p w14:paraId="59479C9E" w14:textId="77777777" w:rsidR="00DE58F4" w:rsidRPr="00983557" w:rsidRDefault="00DE58F4" w:rsidP="00292A26">
            <w:pPr>
              <w:pStyle w:val="ListParagraph"/>
              <w:numPr>
                <w:ilvl w:val="0"/>
                <w:numId w:val="13"/>
              </w:numPr>
            </w:pPr>
            <w:r w:rsidRPr="00983557">
              <w:t>Mainstream events are more accessible to people with disabilities (e.g. ACFID Council, Micah events, DevPolicy) due to ADDC’s support and advocacy.</w:t>
            </w:r>
          </w:p>
        </w:tc>
        <w:tc>
          <w:tcPr>
            <w:tcW w:w="3185" w:type="dxa"/>
            <w:shd w:val="clear" w:color="auto" w:fill="FFFFFF" w:themeFill="background1"/>
          </w:tcPr>
          <w:p w14:paraId="4DE15A0A" w14:textId="77777777" w:rsidR="00983557" w:rsidRDefault="00983557" w:rsidP="000C24A1"/>
          <w:p w14:paraId="681AD3F7" w14:textId="5FDA1EED" w:rsidR="00DE58F4" w:rsidRPr="00983557" w:rsidRDefault="003112DA" w:rsidP="000C24A1">
            <w:r w:rsidRPr="00983557">
              <w:t>At least 2 high profile events / year</w:t>
            </w:r>
            <w:r w:rsidR="00A04351" w:rsidRPr="00983557">
              <w:t>.</w:t>
            </w:r>
          </w:p>
          <w:p w14:paraId="5F2BD570" w14:textId="77777777" w:rsidR="0051006B" w:rsidRPr="00983557" w:rsidRDefault="0051006B" w:rsidP="000C24A1"/>
          <w:p w14:paraId="3E0F1A0F" w14:textId="77777777" w:rsidR="00983557" w:rsidRDefault="00983557" w:rsidP="000C24A1"/>
          <w:p w14:paraId="71702E45" w14:textId="4C2D093C" w:rsidR="0051006B" w:rsidRPr="00983557" w:rsidRDefault="00983557" w:rsidP="000C24A1">
            <w:r>
              <w:t xml:space="preserve">Over </w:t>
            </w:r>
            <w:r w:rsidR="0051006B" w:rsidRPr="00983557">
              <w:t xml:space="preserve">40% of respondents in annual survey report </w:t>
            </w:r>
            <w:r>
              <w:t xml:space="preserve">this. </w:t>
            </w:r>
          </w:p>
          <w:p w14:paraId="1BF39F82" w14:textId="77777777" w:rsidR="0051006B" w:rsidRPr="00983557" w:rsidRDefault="0051006B" w:rsidP="000C24A1"/>
          <w:p w14:paraId="7849D080" w14:textId="77777777" w:rsidR="00983557" w:rsidRDefault="00983557" w:rsidP="000C24A1"/>
          <w:p w14:paraId="5DA3CBF6" w14:textId="77777777" w:rsidR="00983557" w:rsidRDefault="00983557" w:rsidP="000C24A1"/>
          <w:p w14:paraId="49CC871E" w14:textId="77777777" w:rsidR="00983557" w:rsidRDefault="00983557" w:rsidP="000C24A1"/>
          <w:p w14:paraId="2D9EDD25" w14:textId="77777777" w:rsidR="00983557" w:rsidRDefault="00983557" w:rsidP="000C24A1"/>
          <w:p w14:paraId="35CBF73E" w14:textId="466862B0" w:rsidR="0051006B" w:rsidRPr="00983557" w:rsidRDefault="0051006B" w:rsidP="000C24A1">
            <w:r w:rsidRPr="00983557">
              <w:t>ADDC liaises with organises of 3 events per year to ensure accessibility is addressed.</w:t>
            </w:r>
          </w:p>
        </w:tc>
        <w:tc>
          <w:tcPr>
            <w:tcW w:w="3680" w:type="dxa"/>
          </w:tcPr>
          <w:p w14:paraId="2B504B71" w14:textId="6B36F117" w:rsidR="00DE58F4" w:rsidRDefault="00DE58F4" w:rsidP="000C24A1">
            <w:r>
              <w:lastRenderedPageBreak/>
              <w:t>Liaising with organisations and campaigns who hold high profile events, to support inclusion of speakers with disabilities from developing countries, and to ensure events are accessible.</w:t>
            </w:r>
          </w:p>
          <w:p w14:paraId="426AF30F" w14:textId="77777777" w:rsidR="00DE58F4" w:rsidRDefault="00DE58F4" w:rsidP="000C24A1"/>
          <w:p w14:paraId="1BFB6B75" w14:textId="77777777" w:rsidR="00DE58F4" w:rsidRDefault="00DE58F4" w:rsidP="000C24A1">
            <w:r>
              <w:t xml:space="preserve">Collating /developing hub of resources on website regarding internal organisational inclusion (e.g. how to </w:t>
            </w:r>
            <w:r>
              <w:lastRenderedPageBreak/>
              <w:t>make workplaces, events and recruitment more inclusive), and promoting these to sector and members.</w:t>
            </w:r>
          </w:p>
          <w:p w14:paraId="1756154A" w14:textId="77777777" w:rsidR="00DE58F4" w:rsidRDefault="00DE58F4" w:rsidP="00F53354"/>
          <w:p w14:paraId="5C7B6AAF" w14:textId="77777777" w:rsidR="00DE58F4" w:rsidRDefault="00DE58F4" w:rsidP="00F53354"/>
        </w:tc>
      </w:tr>
      <w:tr w:rsidR="00DE58F4" w14:paraId="3E2C82D7" w14:textId="77777777" w:rsidTr="00C233C8">
        <w:tc>
          <w:tcPr>
            <w:tcW w:w="672" w:type="dxa"/>
          </w:tcPr>
          <w:p w14:paraId="16290B18" w14:textId="77777777" w:rsidR="00DE58F4" w:rsidRDefault="00DE58F4" w:rsidP="000C24A1">
            <w:r>
              <w:lastRenderedPageBreak/>
              <w:t>2.5</w:t>
            </w:r>
          </w:p>
        </w:tc>
        <w:tc>
          <w:tcPr>
            <w:tcW w:w="2442" w:type="dxa"/>
          </w:tcPr>
          <w:p w14:paraId="3F9B6293" w14:textId="77777777" w:rsidR="00DE58F4" w:rsidRDefault="00DE58F4" w:rsidP="000C24A1">
            <w:r>
              <w:t>Domestic disability services providers, advocacy organisations and DPOs are engaged with on international development principles.</w:t>
            </w:r>
          </w:p>
        </w:tc>
        <w:tc>
          <w:tcPr>
            <w:tcW w:w="3969" w:type="dxa"/>
          </w:tcPr>
          <w:p w14:paraId="4721667C" w14:textId="2306C56A" w:rsidR="00DE58F4" w:rsidRDefault="00A04351" w:rsidP="00D1762C">
            <w:r>
              <w:t xml:space="preserve">More </w:t>
            </w:r>
            <w:r w:rsidR="00DE58F4">
              <w:t xml:space="preserve">domestic agencies engaged with ADDC </w:t>
            </w:r>
            <w:r>
              <w:t>e.g. a</w:t>
            </w:r>
            <w:r w:rsidR="00DE58F4">
              <w:t>s members, at events or accessing resources</w:t>
            </w:r>
            <w:r>
              <w:t>.</w:t>
            </w:r>
          </w:p>
        </w:tc>
        <w:tc>
          <w:tcPr>
            <w:tcW w:w="3185" w:type="dxa"/>
          </w:tcPr>
          <w:p w14:paraId="54D5DD49" w14:textId="4A1A857C" w:rsidR="00DE58F4" w:rsidRDefault="00BB1360" w:rsidP="00A04351">
            <w:r>
              <w:t>2-4</w:t>
            </w:r>
            <w:r w:rsidR="00A04351">
              <w:t xml:space="preserve"> new agencies / year.</w:t>
            </w:r>
          </w:p>
        </w:tc>
        <w:tc>
          <w:tcPr>
            <w:tcW w:w="3680" w:type="dxa"/>
          </w:tcPr>
          <w:p w14:paraId="67658F04" w14:textId="6CD8D0F9" w:rsidR="00DE58F4" w:rsidRDefault="00DE58F4" w:rsidP="000C24A1">
            <w:r>
              <w:t>Develop and implement domestic sector engagement strategy.</w:t>
            </w:r>
          </w:p>
        </w:tc>
      </w:tr>
    </w:tbl>
    <w:p w14:paraId="4CA44BA5" w14:textId="77777777" w:rsidR="008224E9" w:rsidRDefault="008224E9" w:rsidP="001D2402"/>
    <w:p w14:paraId="55F6D51A" w14:textId="77777777" w:rsidR="004477A8" w:rsidRDefault="004477A8" w:rsidP="001D2402"/>
    <w:tbl>
      <w:tblPr>
        <w:tblStyle w:val="TableGrid"/>
        <w:tblW w:w="13948" w:type="dxa"/>
        <w:tblLook w:val="04A0" w:firstRow="1" w:lastRow="0" w:firstColumn="1" w:lastColumn="0" w:noHBand="0" w:noVBand="1"/>
      </w:tblPr>
      <w:tblGrid>
        <w:gridCol w:w="757"/>
        <w:gridCol w:w="2619"/>
        <w:gridCol w:w="3707"/>
        <w:gridCol w:w="3024"/>
        <w:gridCol w:w="3841"/>
      </w:tblGrid>
      <w:tr w:rsidR="00B3492C" w14:paraId="59C14FCA" w14:textId="77777777" w:rsidTr="002E115B">
        <w:tc>
          <w:tcPr>
            <w:tcW w:w="13948" w:type="dxa"/>
            <w:gridSpan w:val="5"/>
          </w:tcPr>
          <w:p w14:paraId="795A3051" w14:textId="6494BBA4" w:rsidR="00B3492C" w:rsidRPr="001D2402" w:rsidRDefault="007A52FB" w:rsidP="00C91A2C">
            <w:pPr>
              <w:spacing w:before="120" w:after="120"/>
              <w:rPr>
                <w:b/>
              </w:rPr>
            </w:pPr>
            <w:r>
              <w:rPr>
                <w:b/>
              </w:rPr>
              <w:t>Outcome</w:t>
            </w:r>
            <w:r w:rsidRPr="001D2402">
              <w:rPr>
                <w:b/>
              </w:rPr>
              <w:t xml:space="preserve"> </w:t>
            </w:r>
            <w:r w:rsidR="00B3492C" w:rsidRPr="001D2402">
              <w:rPr>
                <w:b/>
              </w:rPr>
              <w:t>3</w:t>
            </w:r>
          </w:p>
          <w:p w14:paraId="13FC8685" w14:textId="77777777" w:rsidR="00B3492C" w:rsidRDefault="00B3492C" w:rsidP="00C91A2C">
            <w:pPr>
              <w:spacing w:before="120" w:after="120"/>
            </w:pPr>
            <w:r>
              <w:t xml:space="preserve">There is improved technical knowledge and skills </w:t>
            </w:r>
            <w:r w:rsidRPr="00A57B38">
              <w:t xml:space="preserve">of DID practice by Australian agencies and individuals engaged in </w:t>
            </w:r>
            <w:r>
              <w:t>international development work</w:t>
            </w:r>
          </w:p>
        </w:tc>
      </w:tr>
      <w:tr w:rsidR="00B3492C" w:rsidRPr="00710CC8" w14:paraId="1521206E" w14:textId="77777777" w:rsidTr="00983557">
        <w:tc>
          <w:tcPr>
            <w:tcW w:w="3376" w:type="dxa"/>
            <w:gridSpan w:val="2"/>
          </w:tcPr>
          <w:p w14:paraId="681EF06A" w14:textId="103C1369" w:rsidR="00B3492C" w:rsidRPr="00710CC8" w:rsidRDefault="007A52FB" w:rsidP="001A74C3">
            <w:pPr>
              <w:spacing w:before="120"/>
              <w:ind w:right="261"/>
              <w:rPr>
                <w:b/>
              </w:rPr>
            </w:pPr>
            <w:r>
              <w:rPr>
                <w:b/>
              </w:rPr>
              <w:t>Objectives</w:t>
            </w:r>
          </w:p>
        </w:tc>
        <w:tc>
          <w:tcPr>
            <w:tcW w:w="3707" w:type="dxa"/>
          </w:tcPr>
          <w:p w14:paraId="05FA1244" w14:textId="77777777" w:rsidR="00B3492C" w:rsidRPr="00710CC8" w:rsidRDefault="00B3492C" w:rsidP="001A74C3">
            <w:pPr>
              <w:rPr>
                <w:b/>
              </w:rPr>
            </w:pPr>
            <w:r w:rsidRPr="00710CC8">
              <w:rPr>
                <w:b/>
              </w:rPr>
              <w:t>Indicator</w:t>
            </w:r>
          </w:p>
        </w:tc>
        <w:tc>
          <w:tcPr>
            <w:tcW w:w="3024" w:type="dxa"/>
          </w:tcPr>
          <w:p w14:paraId="3A8FE6A1" w14:textId="77777777" w:rsidR="00B3492C" w:rsidRPr="00710CC8" w:rsidRDefault="00B3492C" w:rsidP="00AE76B3">
            <w:pPr>
              <w:rPr>
                <w:b/>
              </w:rPr>
            </w:pPr>
          </w:p>
        </w:tc>
        <w:tc>
          <w:tcPr>
            <w:tcW w:w="3841" w:type="dxa"/>
          </w:tcPr>
          <w:p w14:paraId="659B6290" w14:textId="46B8CCA6" w:rsidR="00B3492C" w:rsidRPr="00710CC8" w:rsidRDefault="00B3492C" w:rsidP="00AE76B3">
            <w:pPr>
              <w:rPr>
                <w:b/>
              </w:rPr>
            </w:pPr>
            <w:r w:rsidRPr="00710CC8">
              <w:rPr>
                <w:b/>
              </w:rPr>
              <w:t xml:space="preserve">Activity </w:t>
            </w:r>
          </w:p>
        </w:tc>
      </w:tr>
      <w:tr w:rsidR="00B3492C" w14:paraId="62771197" w14:textId="77777777" w:rsidTr="00983557">
        <w:tc>
          <w:tcPr>
            <w:tcW w:w="757" w:type="dxa"/>
          </w:tcPr>
          <w:p w14:paraId="32E5E7F0" w14:textId="77777777" w:rsidR="00B3492C" w:rsidRPr="00056538" w:rsidRDefault="00B3492C" w:rsidP="001A74C3">
            <w:pPr>
              <w:spacing w:before="120"/>
              <w:ind w:right="261"/>
            </w:pPr>
            <w:r>
              <w:t>3.1</w:t>
            </w:r>
          </w:p>
        </w:tc>
        <w:tc>
          <w:tcPr>
            <w:tcW w:w="2619" w:type="dxa"/>
          </w:tcPr>
          <w:p w14:paraId="38FFC312" w14:textId="77777777" w:rsidR="00B3492C" w:rsidRDefault="00B3492C" w:rsidP="001A74C3">
            <w:pPr>
              <w:spacing w:before="120"/>
              <w:ind w:right="261"/>
            </w:pPr>
            <w:r w:rsidRPr="00056538">
              <w:t>Players practicing</w:t>
            </w:r>
            <w:r>
              <w:t xml:space="preserve"> or wanting to practice</w:t>
            </w:r>
            <w:r w:rsidRPr="00056538">
              <w:t xml:space="preserve"> DID have access to high quality resource</w:t>
            </w:r>
            <w:r>
              <w:t>s and networking opportunitie</w:t>
            </w:r>
            <w:r w:rsidRPr="00056538">
              <w:t>s on technical aspects of DID.</w:t>
            </w:r>
          </w:p>
        </w:tc>
        <w:tc>
          <w:tcPr>
            <w:tcW w:w="3707" w:type="dxa"/>
          </w:tcPr>
          <w:p w14:paraId="46EB5E0F" w14:textId="77777777" w:rsidR="00B3492C" w:rsidRDefault="00B3492C" w:rsidP="00A21BD6">
            <w:r>
              <w:t>Core indicators:</w:t>
            </w:r>
          </w:p>
          <w:p w14:paraId="4E843B17" w14:textId="3AEE7378" w:rsidR="00B3492C" w:rsidRDefault="00CE7DD7" w:rsidP="003C5BAF">
            <w:pPr>
              <w:pStyle w:val="ListParagraph"/>
              <w:numPr>
                <w:ilvl w:val="0"/>
                <w:numId w:val="6"/>
              </w:numPr>
            </w:pPr>
            <w:r>
              <w:t>T</w:t>
            </w:r>
            <w:r w:rsidR="00B3492C">
              <w:t>echnical resources developed and shared each year</w:t>
            </w:r>
            <w:r>
              <w:t xml:space="preserve"> in response to emerging needs or strategic advocacy priorities</w:t>
            </w:r>
            <w:r w:rsidR="00B3492C">
              <w:t xml:space="preserve">. </w:t>
            </w:r>
          </w:p>
          <w:p w14:paraId="47B6F642" w14:textId="7E5109B8" w:rsidR="00CE7DD7" w:rsidRDefault="00CE7DD7" w:rsidP="003C5BAF">
            <w:pPr>
              <w:pStyle w:val="ListParagraph"/>
              <w:numPr>
                <w:ilvl w:val="0"/>
                <w:numId w:val="6"/>
              </w:numPr>
            </w:pPr>
            <w:r>
              <w:t>ADDC convenes discussions on technical issues to promote learning and expertise (e.g. round tables, symposiums or facilitating research).</w:t>
            </w:r>
          </w:p>
          <w:p w14:paraId="41DBD2CC" w14:textId="78C4829B" w:rsidR="00B3492C" w:rsidRDefault="00CE7DD7" w:rsidP="00983557">
            <w:pPr>
              <w:pStyle w:val="ListParagraph"/>
              <w:numPr>
                <w:ilvl w:val="0"/>
                <w:numId w:val="6"/>
              </w:numPr>
            </w:pPr>
            <w:r>
              <w:lastRenderedPageBreak/>
              <w:t>Bulletin is used to inform members of new resources, research etc.</w:t>
            </w:r>
          </w:p>
          <w:p w14:paraId="2932B61A" w14:textId="77777777" w:rsidR="00B3492C" w:rsidRDefault="00B3492C" w:rsidP="00A21BD6"/>
          <w:p w14:paraId="1980BCB1" w14:textId="77777777" w:rsidR="00B3492C" w:rsidRDefault="00B3492C" w:rsidP="00A21BD6">
            <w:r>
              <w:t>Success may also be indicated by:</w:t>
            </w:r>
          </w:p>
          <w:p w14:paraId="7AD3A372" w14:textId="77777777" w:rsidR="00B3492C" w:rsidRDefault="00B3492C" w:rsidP="00F068F7">
            <w:pPr>
              <w:pStyle w:val="ListParagraph"/>
              <w:numPr>
                <w:ilvl w:val="0"/>
                <w:numId w:val="6"/>
              </w:numPr>
            </w:pPr>
            <w:r>
              <w:t>Increase in members who approach and engage with ADDC on technical issues (e.g. requesting positions, requesting round tables etc.).</w:t>
            </w:r>
          </w:p>
        </w:tc>
        <w:tc>
          <w:tcPr>
            <w:tcW w:w="3024" w:type="dxa"/>
          </w:tcPr>
          <w:p w14:paraId="31CC6D06" w14:textId="77777777" w:rsidR="00983557" w:rsidRDefault="00983557" w:rsidP="0051006B"/>
          <w:p w14:paraId="23D77B43" w14:textId="58D9ACF1" w:rsidR="00B3492C" w:rsidRDefault="00CE7DD7" w:rsidP="0051006B">
            <w:r>
              <w:t>1-2 technical resources developed per year.</w:t>
            </w:r>
          </w:p>
          <w:p w14:paraId="51FF99A6" w14:textId="77777777" w:rsidR="00CE7DD7" w:rsidRDefault="00CE7DD7" w:rsidP="0051006B"/>
          <w:p w14:paraId="4EC6D1AF" w14:textId="77777777" w:rsidR="00983557" w:rsidRDefault="00983557" w:rsidP="0051006B"/>
          <w:p w14:paraId="55C43CF9" w14:textId="77777777" w:rsidR="00983557" w:rsidRDefault="00983557" w:rsidP="0051006B"/>
          <w:p w14:paraId="5B704312" w14:textId="3C66FB52" w:rsidR="00CE7DD7" w:rsidRDefault="00CE7DD7" w:rsidP="0051006B">
            <w:r>
              <w:t>1 formal discussion convened per year.</w:t>
            </w:r>
          </w:p>
          <w:p w14:paraId="68D42A05" w14:textId="77777777" w:rsidR="00CE7DD7" w:rsidRDefault="00CE7DD7" w:rsidP="0051006B"/>
          <w:p w14:paraId="6B9BBFE1" w14:textId="77777777" w:rsidR="00983557" w:rsidRDefault="00983557" w:rsidP="0051006B"/>
          <w:p w14:paraId="63E76993" w14:textId="77777777" w:rsidR="00983557" w:rsidRDefault="00983557" w:rsidP="0051006B"/>
          <w:p w14:paraId="7774A4E3" w14:textId="77777777" w:rsidR="00CE7DD7" w:rsidRDefault="00CE7DD7" w:rsidP="0051006B">
            <w:r>
              <w:t>Over 30% of Bulletin</w:t>
            </w:r>
            <w:r w:rsidR="00983557">
              <w:t>s</w:t>
            </w:r>
            <w:r>
              <w:t xml:space="preserve"> opened.</w:t>
            </w:r>
          </w:p>
          <w:p w14:paraId="37EEFBB7" w14:textId="77777777" w:rsidR="00983557" w:rsidRDefault="00983557" w:rsidP="0051006B"/>
          <w:p w14:paraId="1207FCDA" w14:textId="77777777" w:rsidR="00983557" w:rsidRDefault="00983557" w:rsidP="0051006B"/>
          <w:p w14:paraId="49AFA598" w14:textId="77777777" w:rsidR="00983557" w:rsidRDefault="00983557" w:rsidP="0051006B"/>
          <w:p w14:paraId="63190133" w14:textId="514FDCDD" w:rsidR="00983557" w:rsidRDefault="00983557" w:rsidP="0051006B"/>
          <w:p w14:paraId="7FD8F43B" w14:textId="3AB1ECF5" w:rsidR="00983557" w:rsidRDefault="00983557" w:rsidP="0051006B">
            <w:r>
              <w:t>M&amp;E reflective sessions record incidents of being approached on this and aim to maintain/increase yearly.</w:t>
            </w:r>
          </w:p>
          <w:p w14:paraId="44FB00DF" w14:textId="72708E89" w:rsidR="00983557" w:rsidRPr="00C62B05" w:rsidRDefault="00983557" w:rsidP="0051006B"/>
        </w:tc>
        <w:tc>
          <w:tcPr>
            <w:tcW w:w="3841" w:type="dxa"/>
          </w:tcPr>
          <w:p w14:paraId="243241C1" w14:textId="3D8F7EA9" w:rsidR="00B3492C" w:rsidRPr="00C62B05" w:rsidRDefault="00B3492C" w:rsidP="001A74C3">
            <w:pPr>
              <w:pStyle w:val="ListParagraph"/>
              <w:numPr>
                <w:ilvl w:val="0"/>
                <w:numId w:val="6"/>
              </w:numPr>
            </w:pPr>
            <w:r w:rsidRPr="00C62B05">
              <w:lastRenderedPageBreak/>
              <w:t>Developing and disseminating technical input e.g. practice notes, esp</w:t>
            </w:r>
            <w:r>
              <w:t>ecially around the policy themes</w:t>
            </w:r>
            <w:r w:rsidRPr="00C62B05">
              <w:t>.</w:t>
            </w:r>
          </w:p>
          <w:p w14:paraId="37114DF9" w14:textId="77777777" w:rsidR="00B3492C" w:rsidRDefault="00B3492C" w:rsidP="001A74C3">
            <w:pPr>
              <w:pStyle w:val="ListParagraph"/>
              <w:numPr>
                <w:ilvl w:val="0"/>
                <w:numId w:val="6"/>
              </w:numPr>
            </w:pPr>
            <w:r w:rsidRPr="00C62B05">
              <w:t>Assisting members to actually write up what has been gathered by members in ways that are easy and accessible – capturing and disseminating what is being done, as practitioners are actually too time poor to do so themselves.</w:t>
            </w:r>
          </w:p>
          <w:p w14:paraId="2DE92086" w14:textId="77777777" w:rsidR="00B3492C" w:rsidRPr="00C62B05" w:rsidRDefault="00B3492C" w:rsidP="001A74C3">
            <w:pPr>
              <w:numPr>
                <w:ilvl w:val="0"/>
                <w:numId w:val="6"/>
              </w:numPr>
            </w:pPr>
            <w:r w:rsidRPr="00C62B05">
              <w:lastRenderedPageBreak/>
              <w:t>Opportunities such as round tables, symposiums, for sharing and learning on areas that need more attention (emerging issues, issues that are not well understood – see Policy Gaps).</w:t>
            </w:r>
            <w:r>
              <w:t xml:space="preserve"> </w:t>
            </w:r>
            <w:r w:rsidRPr="00C62B05">
              <w:t>These could be used to develop practice notes – see Resourcing activities above.</w:t>
            </w:r>
          </w:p>
          <w:p w14:paraId="63919110" w14:textId="77777777" w:rsidR="00B3492C" w:rsidRDefault="00B3492C" w:rsidP="00A21BD6">
            <w:pPr>
              <w:numPr>
                <w:ilvl w:val="0"/>
                <w:numId w:val="6"/>
              </w:numPr>
            </w:pPr>
            <w:r w:rsidRPr="00C62B05">
              <w:t>Creating a podcast with interviews</w:t>
            </w:r>
            <w:r>
              <w:t xml:space="preserve"> of practitioners with specific expertise/experiences to share.</w:t>
            </w:r>
          </w:p>
        </w:tc>
      </w:tr>
      <w:tr w:rsidR="00B3492C" w14:paraId="446BB078" w14:textId="77777777" w:rsidTr="00983557">
        <w:tc>
          <w:tcPr>
            <w:tcW w:w="757" w:type="dxa"/>
          </w:tcPr>
          <w:p w14:paraId="0CEAB496" w14:textId="77777777" w:rsidR="00B3492C" w:rsidRPr="00606142" w:rsidRDefault="00B3492C" w:rsidP="001A74C3">
            <w:pPr>
              <w:spacing w:before="120"/>
              <w:ind w:right="261"/>
            </w:pPr>
            <w:r w:rsidRPr="00606142">
              <w:lastRenderedPageBreak/>
              <w:t>3.2</w:t>
            </w:r>
          </w:p>
        </w:tc>
        <w:tc>
          <w:tcPr>
            <w:tcW w:w="2619" w:type="dxa"/>
          </w:tcPr>
          <w:p w14:paraId="66FDC6D3" w14:textId="5D64CA3E" w:rsidR="00B3492C" w:rsidRDefault="00A617BC" w:rsidP="0051006B">
            <w:pPr>
              <w:spacing w:before="120"/>
              <w:ind w:right="261"/>
            </w:pPr>
            <w:r>
              <w:t xml:space="preserve">Through ADDC’s submissions and briefings, DFAT and the Minister </w:t>
            </w:r>
            <w:r w:rsidR="00646D5F">
              <w:t xml:space="preserve">and other high-level policy makers </w:t>
            </w:r>
            <w:r>
              <w:t xml:space="preserve">are </w:t>
            </w:r>
            <w:r w:rsidR="00646D5F">
              <w:t>made aware of</w:t>
            </w:r>
            <w:r>
              <w:t xml:space="preserve"> priority technical aspects of DID. </w:t>
            </w:r>
          </w:p>
        </w:tc>
        <w:tc>
          <w:tcPr>
            <w:tcW w:w="3707" w:type="dxa"/>
          </w:tcPr>
          <w:p w14:paraId="5C6E6CC9" w14:textId="77777777" w:rsidR="00983557" w:rsidRDefault="00646D5F" w:rsidP="0051006B">
            <w:pPr>
              <w:pStyle w:val="ListParagraph"/>
              <w:numPr>
                <w:ilvl w:val="0"/>
                <w:numId w:val="14"/>
              </w:numPr>
            </w:pPr>
            <w:r>
              <w:t xml:space="preserve">Satisfaction with inputs provided by ADDC on technical issues of DID to </w:t>
            </w:r>
            <w:r w:rsidR="00EE5873">
              <w:t xml:space="preserve">government, </w:t>
            </w:r>
            <w:r>
              <w:t xml:space="preserve">Minister and other </w:t>
            </w:r>
            <w:r w:rsidR="00EE5873">
              <w:t xml:space="preserve">policy actors </w:t>
            </w:r>
            <w:r>
              <w:t xml:space="preserve">(e.g. ACFID, multilaterals). </w:t>
            </w:r>
          </w:p>
          <w:p w14:paraId="6665C676" w14:textId="56DC4C78" w:rsidR="00646D5F" w:rsidRDefault="00646D5F" w:rsidP="0051006B">
            <w:pPr>
              <w:pStyle w:val="ListParagraph"/>
              <w:numPr>
                <w:ilvl w:val="0"/>
                <w:numId w:val="14"/>
              </w:numPr>
            </w:pPr>
            <w:r>
              <w:t>Number of national/international high-level policy documents where ADDC’s submissions have been incorporated/considered</w:t>
            </w:r>
            <w:r w:rsidR="0051006B">
              <w:t>.</w:t>
            </w:r>
          </w:p>
          <w:p w14:paraId="08B0887D" w14:textId="7442E98D" w:rsidR="00B3492C" w:rsidRDefault="00B3492C" w:rsidP="00983557">
            <w:pPr>
              <w:ind w:left="360"/>
            </w:pPr>
          </w:p>
        </w:tc>
        <w:tc>
          <w:tcPr>
            <w:tcW w:w="3024" w:type="dxa"/>
          </w:tcPr>
          <w:p w14:paraId="681568A8" w14:textId="5A6BC8A8" w:rsidR="00B3492C" w:rsidRDefault="00983557" w:rsidP="00983557">
            <w:r>
              <w:t xml:space="preserve">Executive Officer reports on satisfaction through M&amp;E reflective sessions. </w:t>
            </w:r>
          </w:p>
          <w:p w14:paraId="73FDAF51" w14:textId="663BB1E8" w:rsidR="00983557" w:rsidRDefault="00983557" w:rsidP="00983557"/>
          <w:p w14:paraId="1B24F84F" w14:textId="7456BF2B" w:rsidR="00983557" w:rsidRDefault="00983557" w:rsidP="00983557"/>
          <w:p w14:paraId="3EF0D7F9" w14:textId="77777777" w:rsidR="00983557" w:rsidRDefault="00983557" w:rsidP="00983557"/>
          <w:p w14:paraId="50441B15" w14:textId="5B608A1B" w:rsidR="00145DB6" w:rsidRPr="006E2633" w:rsidRDefault="00145DB6" w:rsidP="00983557">
            <w:r>
              <w:t>2-3 policy documents</w:t>
            </w:r>
            <w:r w:rsidR="0051006B">
              <w:t xml:space="preserve"> per year</w:t>
            </w:r>
            <w:r>
              <w:t xml:space="preserve"> have incorporated</w:t>
            </w:r>
            <w:r w:rsidR="0051006B">
              <w:t xml:space="preserve"> </w:t>
            </w:r>
            <w:r>
              <w:t>/considered ADDC’s input.</w:t>
            </w:r>
          </w:p>
        </w:tc>
        <w:tc>
          <w:tcPr>
            <w:tcW w:w="3841" w:type="dxa"/>
          </w:tcPr>
          <w:p w14:paraId="7770E0B3" w14:textId="4606C441" w:rsidR="00B3492C" w:rsidRPr="006E2633" w:rsidRDefault="00B3492C" w:rsidP="001A74C3">
            <w:pPr>
              <w:numPr>
                <w:ilvl w:val="0"/>
                <w:numId w:val="8"/>
              </w:numPr>
            </w:pPr>
            <w:r w:rsidRPr="006E2633">
              <w:t>Encouraging and supporting Minister to lead on strategic areas internationally.</w:t>
            </w:r>
          </w:p>
          <w:p w14:paraId="40692332" w14:textId="3DC5EAAA" w:rsidR="00B3492C" w:rsidRDefault="00B3492C" w:rsidP="001A74C3">
            <w:pPr>
              <w:numPr>
                <w:ilvl w:val="0"/>
                <w:numId w:val="8"/>
              </w:numPr>
            </w:pPr>
            <w:r w:rsidRPr="006E2633">
              <w:t>Lobbying other Minister</w:t>
            </w:r>
            <w:r w:rsidR="00FF6D5D">
              <w:t>s</w:t>
            </w:r>
            <w:r>
              <w:t xml:space="preserve"> and influential politicians on to improve practices or areas of DFAT / partners’ work E.g. more specific support services for people with disabilities, inclusive health</w:t>
            </w:r>
            <w:r w:rsidR="00A4714A">
              <w:t>, aid for trade, private sector engagement</w:t>
            </w:r>
            <w:r>
              <w:t>.</w:t>
            </w:r>
          </w:p>
          <w:p w14:paraId="1C780BDC" w14:textId="77777777" w:rsidR="00B3492C" w:rsidRDefault="00B3492C" w:rsidP="001A74C3">
            <w:pPr>
              <w:numPr>
                <w:ilvl w:val="0"/>
                <w:numId w:val="8"/>
              </w:numPr>
            </w:pPr>
            <w:r>
              <w:t>Preparing submissions on relevant policy and consultations.</w:t>
            </w:r>
          </w:p>
        </w:tc>
      </w:tr>
    </w:tbl>
    <w:p w14:paraId="725DB240" w14:textId="77777777" w:rsidR="001D2402" w:rsidRDefault="001D2402" w:rsidP="001D2402"/>
    <w:p w14:paraId="0F8C261B" w14:textId="77777777" w:rsidR="001D2402" w:rsidRPr="0047674F" w:rsidRDefault="001D2402" w:rsidP="001D2402"/>
    <w:tbl>
      <w:tblPr>
        <w:tblStyle w:val="TableGrid"/>
        <w:tblW w:w="13948" w:type="dxa"/>
        <w:tblLook w:val="04A0" w:firstRow="1" w:lastRow="0" w:firstColumn="1" w:lastColumn="0" w:noHBand="0" w:noVBand="1"/>
      </w:tblPr>
      <w:tblGrid>
        <w:gridCol w:w="618"/>
        <w:gridCol w:w="2309"/>
        <w:gridCol w:w="4122"/>
        <w:gridCol w:w="2915"/>
        <w:gridCol w:w="3984"/>
      </w:tblGrid>
      <w:tr w:rsidR="00145DB6" w14:paraId="42679CA3" w14:textId="77777777" w:rsidTr="003D3A9E">
        <w:tc>
          <w:tcPr>
            <w:tcW w:w="13948" w:type="dxa"/>
            <w:gridSpan w:val="5"/>
          </w:tcPr>
          <w:p w14:paraId="0E9EA02B" w14:textId="31C3C3ED" w:rsidR="00145DB6" w:rsidRDefault="007A52FB" w:rsidP="00C91A2C">
            <w:pPr>
              <w:spacing w:before="120" w:after="120"/>
              <w:rPr>
                <w:b/>
              </w:rPr>
            </w:pPr>
            <w:r>
              <w:rPr>
                <w:b/>
              </w:rPr>
              <w:t xml:space="preserve">Outcome </w:t>
            </w:r>
            <w:r w:rsidR="00145DB6">
              <w:rPr>
                <w:b/>
              </w:rPr>
              <w:t>4</w:t>
            </w:r>
          </w:p>
          <w:p w14:paraId="76735A99" w14:textId="77777777" w:rsidR="00145DB6" w:rsidRPr="00EA5977" w:rsidRDefault="00145DB6" w:rsidP="00C91A2C">
            <w:pPr>
              <w:spacing w:before="120" w:after="120"/>
            </w:pPr>
            <w:r>
              <w:t>ADDC is strong and viable.</w:t>
            </w:r>
          </w:p>
        </w:tc>
      </w:tr>
      <w:tr w:rsidR="00145DB6" w:rsidRPr="003A23FB" w14:paraId="2AC09B81" w14:textId="77777777" w:rsidTr="0051006B">
        <w:tc>
          <w:tcPr>
            <w:tcW w:w="2927" w:type="dxa"/>
            <w:gridSpan w:val="2"/>
          </w:tcPr>
          <w:p w14:paraId="1BF0F933" w14:textId="4EA802AA" w:rsidR="00145DB6" w:rsidRPr="003A23FB" w:rsidRDefault="007A52FB" w:rsidP="00251714">
            <w:pPr>
              <w:spacing w:before="120"/>
              <w:rPr>
                <w:b/>
              </w:rPr>
            </w:pPr>
            <w:r>
              <w:rPr>
                <w:b/>
              </w:rPr>
              <w:t xml:space="preserve">Objectives </w:t>
            </w:r>
          </w:p>
        </w:tc>
        <w:tc>
          <w:tcPr>
            <w:tcW w:w="4122" w:type="dxa"/>
          </w:tcPr>
          <w:p w14:paraId="0694E728" w14:textId="77777777" w:rsidR="00145DB6" w:rsidRPr="003A23FB" w:rsidRDefault="00145DB6">
            <w:pPr>
              <w:rPr>
                <w:b/>
              </w:rPr>
            </w:pPr>
            <w:r w:rsidRPr="003A23FB">
              <w:rPr>
                <w:b/>
              </w:rPr>
              <w:t>Indicators</w:t>
            </w:r>
          </w:p>
        </w:tc>
        <w:tc>
          <w:tcPr>
            <w:tcW w:w="2915" w:type="dxa"/>
          </w:tcPr>
          <w:p w14:paraId="57249D3A" w14:textId="77777777" w:rsidR="00145DB6" w:rsidRPr="003A23FB" w:rsidRDefault="00145DB6" w:rsidP="003A23FB">
            <w:pPr>
              <w:rPr>
                <w:b/>
              </w:rPr>
            </w:pPr>
          </w:p>
        </w:tc>
        <w:tc>
          <w:tcPr>
            <w:tcW w:w="3984" w:type="dxa"/>
          </w:tcPr>
          <w:p w14:paraId="1974A3E7" w14:textId="6E088008" w:rsidR="00145DB6" w:rsidRPr="003A23FB" w:rsidRDefault="00145DB6" w:rsidP="003A23FB">
            <w:pPr>
              <w:rPr>
                <w:b/>
              </w:rPr>
            </w:pPr>
            <w:r w:rsidRPr="003A23FB">
              <w:rPr>
                <w:b/>
              </w:rPr>
              <w:t>Possible Activities</w:t>
            </w:r>
          </w:p>
        </w:tc>
      </w:tr>
      <w:tr w:rsidR="00145DB6" w14:paraId="3C249339" w14:textId="77777777" w:rsidTr="0051006B">
        <w:tc>
          <w:tcPr>
            <w:tcW w:w="618" w:type="dxa"/>
          </w:tcPr>
          <w:p w14:paraId="3A1A5B63" w14:textId="77777777" w:rsidR="00145DB6" w:rsidRPr="009951A0" w:rsidRDefault="00145DB6" w:rsidP="001A74C3">
            <w:pPr>
              <w:spacing w:before="120"/>
            </w:pPr>
            <w:r>
              <w:lastRenderedPageBreak/>
              <w:t>4.1</w:t>
            </w:r>
          </w:p>
        </w:tc>
        <w:tc>
          <w:tcPr>
            <w:tcW w:w="2309" w:type="dxa"/>
          </w:tcPr>
          <w:p w14:paraId="2030AF4C" w14:textId="77777777" w:rsidR="00145DB6" w:rsidRPr="001A74C3" w:rsidRDefault="00145DB6" w:rsidP="00251714">
            <w:pPr>
              <w:spacing w:before="120"/>
            </w:pPr>
            <w:r w:rsidRPr="009951A0">
              <w:t>ADDC</w:t>
            </w:r>
            <w:r>
              <w:t xml:space="preserve"> has strong brand recognition.</w:t>
            </w:r>
          </w:p>
        </w:tc>
        <w:tc>
          <w:tcPr>
            <w:tcW w:w="4122" w:type="dxa"/>
          </w:tcPr>
          <w:p w14:paraId="06C1B148" w14:textId="2325E4DD" w:rsidR="0051006B" w:rsidRPr="00997F9B" w:rsidRDefault="0051006B" w:rsidP="0051006B">
            <w:r w:rsidRPr="00997F9B">
              <w:t xml:space="preserve">Sector is aware of ADDC as </w:t>
            </w:r>
            <w:r w:rsidR="00A4714A">
              <w:t xml:space="preserve">a </w:t>
            </w:r>
            <w:r w:rsidRPr="00997F9B">
              <w:t>go-to place for resources</w:t>
            </w:r>
            <w:bookmarkStart w:id="0" w:name="_GoBack"/>
            <w:bookmarkEnd w:id="0"/>
            <w:r w:rsidRPr="00997F9B">
              <w:t>, networking as evidence</w:t>
            </w:r>
            <w:r w:rsidR="00A4714A">
              <w:t>d</w:t>
            </w:r>
            <w:r w:rsidRPr="00997F9B">
              <w:t xml:space="preserve"> through annual membership survey.</w:t>
            </w:r>
          </w:p>
        </w:tc>
        <w:tc>
          <w:tcPr>
            <w:tcW w:w="2915" w:type="dxa"/>
          </w:tcPr>
          <w:p w14:paraId="383B5CBB" w14:textId="7FC9ADB3" w:rsidR="0051006B" w:rsidRDefault="00A4714A" w:rsidP="0051006B">
            <w:r>
              <w:t xml:space="preserve">Over 50% of participants in member survey report this. </w:t>
            </w:r>
            <w:r w:rsidR="0051006B">
              <w:t xml:space="preserve">. </w:t>
            </w:r>
          </w:p>
          <w:p w14:paraId="3F76F1A8" w14:textId="339362A0" w:rsidR="00145DB6" w:rsidRDefault="00145DB6" w:rsidP="0051006B"/>
        </w:tc>
        <w:tc>
          <w:tcPr>
            <w:tcW w:w="3984" w:type="dxa"/>
          </w:tcPr>
          <w:p w14:paraId="4FBAD340" w14:textId="32B0B0AF" w:rsidR="00145DB6" w:rsidRDefault="00145DB6" w:rsidP="0069662F">
            <w:pPr>
              <w:numPr>
                <w:ilvl w:val="0"/>
                <w:numId w:val="10"/>
              </w:numPr>
            </w:pPr>
            <w:r>
              <w:t>Ensure presence at key sector events eg. ACFID Conference</w:t>
            </w:r>
          </w:p>
          <w:p w14:paraId="4D470BA7" w14:textId="77777777" w:rsidR="00145DB6" w:rsidRDefault="00145DB6" w:rsidP="0069662F">
            <w:pPr>
              <w:numPr>
                <w:ilvl w:val="0"/>
                <w:numId w:val="10"/>
              </w:numPr>
            </w:pPr>
            <w:r>
              <w:t>Regular bulletins</w:t>
            </w:r>
          </w:p>
          <w:p w14:paraId="3996D17F" w14:textId="77777777" w:rsidR="00145DB6" w:rsidRDefault="00145DB6" w:rsidP="0069662F">
            <w:pPr>
              <w:numPr>
                <w:ilvl w:val="0"/>
                <w:numId w:val="10"/>
              </w:numPr>
            </w:pPr>
            <w:r>
              <w:t xml:space="preserve">Develop and deliver social media strategy. </w:t>
            </w:r>
          </w:p>
          <w:p w14:paraId="69EFC815" w14:textId="77777777" w:rsidR="00145DB6" w:rsidRDefault="00145DB6" w:rsidP="0069662F">
            <w:pPr>
              <w:numPr>
                <w:ilvl w:val="0"/>
                <w:numId w:val="10"/>
              </w:numPr>
            </w:pPr>
            <w:r>
              <w:t>Prepare communications, branding and messaging strategies/guidelines to maximise profile building through communications, and to promote profile.</w:t>
            </w:r>
          </w:p>
          <w:p w14:paraId="2EDBAA64" w14:textId="77777777" w:rsidR="00145DB6" w:rsidRDefault="00145DB6">
            <w:pPr>
              <w:rPr>
                <w:rFonts w:ascii="Verdana" w:hAnsi="Verdana"/>
                <w:b/>
              </w:rPr>
            </w:pPr>
          </w:p>
        </w:tc>
      </w:tr>
      <w:tr w:rsidR="00145DB6" w14:paraId="449B21B2" w14:textId="77777777" w:rsidTr="0051006B">
        <w:tc>
          <w:tcPr>
            <w:tcW w:w="618" w:type="dxa"/>
          </w:tcPr>
          <w:p w14:paraId="6230C3D4" w14:textId="77777777" w:rsidR="00145DB6" w:rsidRPr="009951A0" w:rsidRDefault="00145DB6" w:rsidP="001A74C3">
            <w:pPr>
              <w:spacing w:before="120"/>
            </w:pPr>
            <w:r>
              <w:t>4.2</w:t>
            </w:r>
          </w:p>
        </w:tc>
        <w:tc>
          <w:tcPr>
            <w:tcW w:w="2309" w:type="dxa"/>
          </w:tcPr>
          <w:p w14:paraId="03D578DB" w14:textId="77777777" w:rsidR="00145DB6" w:rsidRPr="001A74C3" w:rsidRDefault="00145DB6" w:rsidP="001A74C3">
            <w:pPr>
              <w:spacing w:before="120"/>
            </w:pPr>
            <w:r w:rsidRPr="009951A0">
              <w:t>Risks are addressed</w:t>
            </w:r>
            <w:r>
              <w:t xml:space="preserve"> to strengthen viability</w:t>
            </w:r>
            <w:r w:rsidRPr="009951A0">
              <w:t>.</w:t>
            </w:r>
          </w:p>
        </w:tc>
        <w:tc>
          <w:tcPr>
            <w:tcW w:w="4122" w:type="dxa"/>
          </w:tcPr>
          <w:p w14:paraId="2F8A1F0F" w14:textId="77777777" w:rsidR="00145DB6" w:rsidRDefault="00145DB6">
            <w:r>
              <w:t>Core indicators:</w:t>
            </w:r>
          </w:p>
          <w:p w14:paraId="60D65073" w14:textId="3EB91FA9" w:rsidR="00145DB6" w:rsidRDefault="00145DB6" w:rsidP="00657924">
            <w:pPr>
              <w:pStyle w:val="ListParagraph"/>
              <w:numPr>
                <w:ilvl w:val="0"/>
                <w:numId w:val="10"/>
              </w:numPr>
            </w:pPr>
            <w:r>
              <w:t>ADDC establishes and delivers upon regular basis of communication with DFAT and ACFID (by end of 2019)</w:t>
            </w:r>
            <w:r w:rsidR="007253AE">
              <w:t>.</w:t>
            </w:r>
          </w:p>
          <w:p w14:paraId="18D928FE" w14:textId="77777777" w:rsidR="00145DB6" w:rsidRDefault="00145DB6"/>
          <w:p w14:paraId="5E064A40" w14:textId="6A6BC952" w:rsidR="00145DB6" w:rsidRDefault="00341AF4" w:rsidP="00657924">
            <w:pPr>
              <w:pStyle w:val="ListParagraph"/>
              <w:numPr>
                <w:ilvl w:val="0"/>
                <w:numId w:val="10"/>
              </w:numPr>
            </w:pPr>
            <w:r>
              <w:t>Strategic alignment and point of difference between ADDC and CBM has been articulated and is periodically reviewed</w:t>
            </w:r>
            <w:r w:rsidDel="00341AF4">
              <w:t xml:space="preserve"> </w:t>
            </w:r>
            <w:r w:rsidR="00145DB6">
              <w:t>(by end of 2018).</w:t>
            </w:r>
          </w:p>
          <w:p w14:paraId="325B5902" w14:textId="77777777" w:rsidR="00145DB6" w:rsidRDefault="00145DB6"/>
          <w:p w14:paraId="757280CF" w14:textId="77777777" w:rsidR="00145DB6" w:rsidRDefault="00145DB6">
            <w:r>
              <w:t>Success may also be indicated by:</w:t>
            </w:r>
          </w:p>
          <w:p w14:paraId="44C4724B" w14:textId="4417507D" w:rsidR="00145DB6" w:rsidRPr="006565FC" w:rsidRDefault="00145DB6" w:rsidP="00597310">
            <w:pPr>
              <w:pStyle w:val="ListParagraph"/>
              <w:numPr>
                <w:ilvl w:val="0"/>
                <w:numId w:val="11"/>
              </w:numPr>
            </w:pPr>
            <w:r>
              <w:t xml:space="preserve">ADDC developing and implementing </w:t>
            </w:r>
            <w:r w:rsidR="00597310">
              <w:t xml:space="preserve">strategy for financial sustainability. </w:t>
            </w:r>
          </w:p>
        </w:tc>
        <w:tc>
          <w:tcPr>
            <w:tcW w:w="2915" w:type="dxa"/>
          </w:tcPr>
          <w:p w14:paraId="585CF4F7" w14:textId="77777777" w:rsidR="00145DB6" w:rsidRDefault="00145DB6" w:rsidP="00532E12"/>
          <w:p w14:paraId="677FDE47" w14:textId="77777777" w:rsidR="00532E12" w:rsidRDefault="00532E12" w:rsidP="00532E12">
            <w:r>
              <w:t>As per indicator.</w:t>
            </w:r>
          </w:p>
          <w:p w14:paraId="3BDD0BA5" w14:textId="77777777" w:rsidR="00532E12" w:rsidRDefault="00532E12" w:rsidP="00532E12"/>
          <w:p w14:paraId="70F6E3D8" w14:textId="77777777" w:rsidR="00532E12" w:rsidRDefault="00532E12" w:rsidP="00532E12"/>
          <w:p w14:paraId="0A52C141" w14:textId="77777777" w:rsidR="00532E12" w:rsidRDefault="00532E12" w:rsidP="00532E12"/>
          <w:p w14:paraId="7879C547" w14:textId="77777777" w:rsidR="00532E12" w:rsidRDefault="00532E12" w:rsidP="00532E12"/>
          <w:p w14:paraId="53BC9F07" w14:textId="77777777" w:rsidR="00532E12" w:rsidRDefault="00532E12" w:rsidP="00532E12">
            <w:r>
              <w:t>As per indicator.</w:t>
            </w:r>
          </w:p>
          <w:p w14:paraId="21E75958" w14:textId="77777777" w:rsidR="00532E12" w:rsidRDefault="00532E12" w:rsidP="00532E12"/>
          <w:p w14:paraId="1EFB6ECB" w14:textId="77777777" w:rsidR="00532E12" w:rsidRDefault="00532E12" w:rsidP="00532E12"/>
          <w:p w14:paraId="6893DF60" w14:textId="77777777" w:rsidR="00532E12" w:rsidRDefault="00532E12" w:rsidP="00532E12"/>
          <w:p w14:paraId="2813DCC2" w14:textId="77777777" w:rsidR="00532E12" w:rsidRDefault="00532E12" w:rsidP="00532E12"/>
          <w:p w14:paraId="738E1911" w14:textId="77777777" w:rsidR="00532E12" w:rsidRDefault="00532E12" w:rsidP="00532E12"/>
          <w:p w14:paraId="2B518973" w14:textId="3EE6CAA3" w:rsidR="00532E12" w:rsidRDefault="00532E12" w:rsidP="00532E12">
            <w:r>
              <w:t>As per indicator.</w:t>
            </w:r>
          </w:p>
          <w:p w14:paraId="0EB17504" w14:textId="6B04E51B" w:rsidR="00532E12" w:rsidRPr="00532E12" w:rsidRDefault="00532E12" w:rsidP="00532E12">
            <w:pPr>
              <w:rPr>
                <w:i/>
              </w:rPr>
            </w:pPr>
            <w:r w:rsidRPr="00532E12">
              <w:rPr>
                <w:i/>
              </w:rPr>
              <w:t xml:space="preserve">This may be reviewed </w:t>
            </w:r>
            <w:r>
              <w:rPr>
                <w:i/>
              </w:rPr>
              <w:t>to include set targets of revenue raised if decided in strategy.</w:t>
            </w:r>
          </w:p>
        </w:tc>
        <w:tc>
          <w:tcPr>
            <w:tcW w:w="3984" w:type="dxa"/>
          </w:tcPr>
          <w:p w14:paraId="3F619311" w14:textId="512189D4" w:rsidR="00145DB6" w:rsidRPr="003F5DF5" w:rsidRDefault="00145DB6" w:rsidP="0032229E">
            <w:pPr>
              <w:numPr>
                <w:ilvl w:val="0"/>
                <w:numId w:val="11"/>
              </w:numPr>
              <w:spacing w:before="120"/>
              <w:ind w:left="714" w:hanging="357"/>
            </w:pPr>
            <w:r>
              <w:t>Liaise with DFAT and ACFID.</w:t>
            </w:r>
          </w:p>
          <w:p w14:paraId="1D53DBA1" w14:textId="77777777" w:rsidR="00145DB6" w:rsidRDefault="00145DB6" w:rsidP="0032229E">
            <w:pPr>
              <w:numPr>
                <w:ilvl w:val="0"/>
                <w:numId w:val="11"/>
              </w:numPr>
              <w:spacing w:before="120"/>
              <w:ind w:left="714" w:hanging="357"/>
            </w:pPr>
            <w:r>
              <w:t>Work with CBM to ensure s</w:t>
            </w:r>
            <w:r w:rsidRPr="003F5DF5">
              <w:t>trategi</w:t>
            </w:r>
            <w:r>
              <w:t>c alignment between the organisations, so that ADDC’s activities complement rather than compete against or duplicate CBM’s work.</w:t>
            </w:r>
          </w:p>
          <w:p w14:paraId="351D6AE8" w14:textId="77777777" w:rsidR="00145DB6" w:rsidRPr="00251714" w:rsidRDefault="00145DB6" w:rsidP="0032229E">
            <w:pPr>
              <w:numPr>
                <w:ilvl w:val="0"/>
                <w:numId w:val="11"/>
              </w:numPr>
              <w:spacing w:before="120"/>
              <w:ind w:left="714" w:hanging="357"/>
            </w:pPr>
            <w:r>
              <w:t>Explore, and if relevant, start to charge for appropriate fees/sponsorship for activities e.g. sponsors for the peer support network, some sponsorship for developing practice notes</w:t>
            </w:r>
          </w:p>
        </w:tc>
      </w:tr>
      <w:tr w:rsidR="00145DB6" w14:paraId="38F7D216" w14:textId="77777777" w:rsidTr="0051006B">
        <w:tc>
          <w:tcPr>
            <w:tcW w:w="618" w:type="dxa"/>
          </w:tcPr>
          <w:p w14:paraId="0E687439" w14:textId="77777777" w:rsidR="00145DB6" w:rsidRPr="009951A0" w:rsidRDefault="00145DB6" w:rsidP="001A74C3">
            <w:pPr>
              <w:spacing w:before="120"/>
            </w:pPr>
            <w:r>
              <w:t>4.3</w:t>
            </w:r>
          </w:p>
        </w:tc>
        <w:tc>
          <w:tcPr>
            <w:tcW w:w="2309" w:type="dxa"/>
          </w:tcPr>
          <w:p w14:paraId="583F57EB" w14:textId="77777777" w:rsidR="00145DB6" w:rsidRPr="009951A0" w:rsidRDefault="00145DB6" w:rsidP="001A74C3">
            <w:pPr>
              <w:spacing w:before="120"/>
            </w:pPr>
            <w:r w:rsidRPr="009951A0">
              <w:t>ADDC is effective and accountable.</w:t>
            </w:r>
          </w:p>
          <w:p w14:paraId="111CA878" w14:textId="77777777" w:rsidR="00145DB6" w:rsidRDefault="00145DB6">
            <w:pPr>
              <w:rPr>
                <w:rFonts w:ascii="Verdana" w:hAnsi="Verdana"/>
                <w:b/>
              </w:rPr>
            </w:pPr>
          </w:p>
        </w:tc>
        <w:tc>
          <w:tcPr>
            <w:tcW w:w="4122" w:type="dxa"/>
          </w:tcPr>
          <w:p w14:paraId="1377ABC2" w14:textId="77777777" w:rsidR="00145DB6" w:rsidRDefault="00145DB6" w:rsidP="00251714">
            <w:r>
              <w:t>Core indicators:</w:t>
            </w:r>
          </w:p>
          <w:p w14:paraId="7104F2BD" w14:textId="4D77B55C" w:rsidR="00145DB6" w:rsidRPr="00251714" w:rsidRDefault="00145DB6" w:rsidP="00597310">
            <w:pPr>
              <w:pStyle w:val="ListParagraph"/>
              <w:numPr>
                <w:ilvl w:val="0"/>
                <w:numId w:val="16"/>
              </w:numPr>
            </w:pPr>
            <w:r>
              <w:t xml:space="preserve">ADDC </w:t>
            </w:r>
            <w:r w:rsidR="00597310">
              <w:t>implements and maintains</w:t>
            </w:r>
            <w:r>
              <w:t xml:space="preserve"> a monitoring and evaluation framework (yearly reporting against framework).</w:t>
            </w:r>
          </w:p>
        </w:tc>
        <w:tc>
          <w:tcPr>
            <w:tcW w:w="2915" w:type="dxa"/>
          </w:tcPr>
          <w:p w14:paraId="42365BC9" w14:textId="3F5F5912" w:rsidR="00532E12" w:rsidRPr="00BB5A9A" w:rsidRDefault="00532E12" w:rsidP="00532E12">
            <w:pPr>
              <w:spacing w:before="120"/>
            </w:pPr>
            <w:r>
              <w:t>As per indicator.</w:t>
            </w:r>
          </w:p>
        </w:tc>
        <w:tc>
          <w:tcPr>
            <w:tcW w:w="3984" w:type="dxa"/>
          </w:tcPr>
          <w:p w14:paraId="621FB96A" w14:textId="725820EE" w:rsidR="00145DB6" w:rsidRDefault="00145DB6" w:rsidP="0032229E">
            <w:pPr>
              <w:pStyle w:val="ListParagraph"/>
              <w:numPr>
                <w:ilvl w:val="0"/>
                <w:numId w:val="11"/>
              </w:numPr>
              <w:spacing w:before="120"/>
              <w:ind w:left="714" w:hanging="357"/>
              <w:contextualSpacing w:val="0"/>
            </w:pPr>
            <w:r w:rsidRPr="00BB5A9A">
              <w:t>Establish and maintain system f</w:t>
            </w:r>
            <w:r w:rsidR="0032229E">
              <w:t xml:space="preserve">or reporting back to membership, M&amp;E framework, </w:t>
            </w:r>
            <w:r w:rsidRPr="00BB5A9A">
              <w:t xml:space="preserve">system for capturing organisational </w:t>
            </w:r>
            <w:r>
              <w:t xml:space="preserve">memory and </w:t>
            </w:r>
            <w:r w:rsidRPr="00BB5A9A">
              <w:t>knowledge.</w:t>
            </w:r>
          </w:p>
          <w:p w14:paraId="76190593" w14:textId="77777777" w:rsidR="00145DB6" w:rsidRPr="00251714" w:rsidRDefault="00145DB6" w:rsidP="00887DB2">
            <w:pPr>
              <w:pStyle w:val="ListParagraph"/>
              <w:numPr>
                <w:ilvl w:val="0"/>
                <w:numId w:val="11"/>
              </w:numPr>
              <w:spacing w:before="120"/>
              <w:ind w:left="714" w:hanging="357"/>
              <w:contextualSpacing w:val="0"/>
            </w:pPr>
            <w:r>
              <w:t xml:space="preserve">Prepare relevant strategies and workplans cutting across </w:t>
            </w:r>
            <w:r>
              <w:lastRenderedPageBreak/>
              <w:t>objectives (e.g. advocacy, networking resource development, social media) to ensure work is streamlined and effective.</w:t>
            </w:r>
          </w:p>
        </w:tc>
      </w:tr>
    </w:tbl>
    <w:p w14:paraId="16436F3C" w14:textId="77777777" w:rsidR="001D2402" w:rsidRPr="001D2402" w:rsidRDefault="001D2402" w:rsidP="003A23FB">
      <w:pPr>
        <w:rPr>
          <w:rFonts w:ascii="Verdana" w:hAnsi="Verdana"/>
          <w:b/>
        </w:rPr>
      </w:pPr>
    </w:p>
    <w:sectPr w:rsidR="001D2402" w:rsidRPr="001D2402" w:rsidSect="00997F9B">
      <w:pgSz w:w="16838" w:h="11906" w:orient="landscape"/>
      <w:pgMar w:top="851" w:right="1440" w:bottom="127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509363" w16cid:durableId="1EB7FBA5"/>
  <w16cid:commentId w16cid:paraId="3F0F44F1" w16cid:durableId="1EB7FAA8"/>
  <w16cid:commentId w16cid:paraId="0872EC78" w16cid:durableId="1EB7FB26"/>
  <w16cid:commentId w16cid:paraId="32B30DAA" w16cid:durableId="1EB7FC25"/>
  <w16cid:commentId w16cid:paraId="4FE14F7C" w16cid:durableId="1EB7FCB0"/>
  <w16cid:commentId w16cid:paraId="32655ABA" w16cid:durableId="1EB7FD01"/>
  <w16cid:commentId w16cid:paraId="3CDD4C17" w16cid:durableId="1EB7FD2A"/>
  <w16cid:commentId w16cid:paraId="2365CDAA" w16cid:durableId="1EB7FDCE"/>
  <w16cid:commentId w16cid:paraId="1E7B0CC6" w16cid:durableId="1EB7FE1E"/>
  <w16cid:commentId w16cid:paraId="72842BF4" w16cid:durableId="1EB7FED4"/>
  <w16cid:commentId w16cid:paraId="05E1CDEE" w16cid:durableId="1EB7FF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B69DA" w14:textId="77777777" w:rsidR="00C7369E" w:rsidRDefault="00C7369E" w:rsidP="00C7369E">
      <w:pPr>
        <w:spacing w:after="0" w:line="240" w:lineRule="auto"/>
      </w:pPr>
      <w:r>
        <w:separator/>
      </w:r>
    </w:p>
  </w:endnote>
  <w:endnote w:type="continuationSeparator" w:id="0">
    <w:p w14:paraId="0A617EA1" w14:textId="77777777" w:rsidR="00C7369E" w:rsidRDefault="00C7369E" w:rsidP="00C7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9400D" w14:textId="77777777" w:rsidR="00C7369E" w:rsidRDefault="00C7369E" w:rsidP="00C7369E">
      <w:pPr>
        <w:spacing w:after="0" w:line="240" w:lineRule="auto"/>
      </w:pPr>
      <w:r>
        <w:separator/>
      </w:r>
    </w:p>
  </w:footnote>
  <w:footnote w:type="continuationSeparator" w:id="0">
    <w:p w14:paraId="42A48E5C" w14:textId="77777777" w:rsidR="00C7369E" w:rsidRDefault="00C7369E" w:rsidP="00C7369E">
      <w:pPr>
        <w:spacing w:after="0" w:line="240" w:lineRule="auto"/>
      </w:pPr>
      <w:r>
        <w:continuationSeparator/>
      </w:r>
    </w:p>
  </w:footnote>
  <w:footnote w:id="1">
    <w:p w14:paraId="14E7B5E6" w14:textId="26AEE09B" w:rsidR="00C7369E" w:rsidRDefault="00C7369E">
      <w:pPr>
        <w:pStyle w:val="FootnoteText"/>
      </w:pPr>
      <w:r>
        <w:rPr>
          <w:rStyle w:val="FootnoteReference"/>
        </w:rPr>
        <w:footnoteRef/>
      </w:r>
      <w:r>
        <w:t xml:space="preserve"> </w:t>
      </w:r>
      <w:r>
        <w:rPr>
          <w:sz w:val="21"/>
          <w:szCs w:val="21"/>
        </w:rPr>
        <w:t xml:space="preserve">Adapted from </w:t>
      </w:r>
      <w:hyperlink r:id="rId1" w:history="1">
        <w:r w:rsidRPr="00331583">
          <w:rPr>
            <w:rStyle w:val="Hyperlink"/>
            <w:sz w:val="21"/>
            <w:szCs w:val="21"/>
          </w:rPr>
          <w:t>http://www.hiproweb.org/fileadmin/cdroms/Handicap_Developpement/www/en_page61.html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735348C"/>
    <w:multiLevelType w:val="hybridMultilevel"/>
    <w:tmpl w:val="ECA4001A"/>
    <w:lvl w:ilvl="0" w:tplc="4044C898">
      <w:start w:val="1"/>
      <w:numFmt w:val="decimal"/>
      <w:lvlText w:val="%1."/>
      <w:lvlJc w:val="left"/>
      <w:pPr>
        <w:ind w:left="720" w:hanging="360"/>
      </w:pPr>
      <w:rPr>
        <w:rFonts w:ascii="Verdana" w:eastAsiaTheme="minorHAnsi" w:hAnsi="Verdana" w:cstheme="minorBidi"/>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3B5470"/>
    <w:multiLevelType w:val="hybridMultilevel"/>
    <w:tmpl w:val="4B100080"/>
    <w:lvl w:ilvl="0" w:tplc="9F702238">
      <w:start w:val="1"/>
      <w:numFmt w:val="bullet"/>
      <w:lvlText w:val="-"/>
      <w:lvlJc w:val="left"/>
      <w:pPr>
        <w:tabs>
          <w:tab w:val="num" w:pos="720"/>
        </w:tabs>
        <w:ind w:left="720" w:hanging="360"/>
      </w:pPr>
      <w:rPr>
        <w:rFonts w:ascii="Arial" w:hAnsi="Arial" w:hint="default"/>
      </w:rPr>
    </w:lvl>
    <w:lvl w:ilvl="1" w:tplc="00C86F32" w:tentative="1">
      <w:start w:val="1"/>
      <w:numFmt w:val="bullet"/>
      <w:lvlText w:val="-"/>
      <w:lvlJc w:val="left"/>
      <w:pPr>
        <w:tabs>
          <w:tab w:val="num" w:pos="1440"/>
        </w:tabs>
        <w:ind w:left="1440" w:hanging="360"/>
      </w:pPr>
      <w:rPr>
        <w:rFonts w:ascii="Arial" w:hAnsi="Arial" w:hint="default"/>
      </w:rPr>
    </w:lvl>
    <w:lvl w:ilvl="2" w:tplc="4F8075D8" w:tentative="1">
      <w:start w:val="1"/>
      <w:numFmt w:val="bullet"/>
      <w:lvlText w:val="-"/>
      <w:lvlJc w:val="left"/>
      <w:pPr>
        <w:tabs>
          <w:tab w:val="num" w:pos="2160"/>
        </w:tabs>
        <w:ind w:left="2160" w:hanging="360"/>
      </w:pPr>
      <w:rPr>
        <w:rFonts w:ascii="Arial" w:hAnsi="Arial" w:hint="default"/>
      </w:rPr>
    </w:lvl>
    <w:lvl w:ilvl="3" w:tplc="586A316A" w:tentative="1">
      <w:start w:val="1"/>
      <w:numFmt w:val="bullet"/>
      <w:lvlText w:val="-"/>
      <w:lvlJc w:val="left"/>
      <w:pPr>
        <w:tabs>
          <w:tab w:val="num" w:pos="2880"/>
        </w:tabs>
        <w:ind w:left="2880" w:hanging="360"/>
      </w:pPr>
      <w:rPr>
        <w:rFonts w:ascii="Arial" w:hAnsi="Arial" w:hint="default"/>
      </w:rPr>
    </w:lvl>
    <w:lvl w:ilvl="4" w:tplc="296C67B8" w:tentative="1">
      <w:start w:val="1"/>
      <w:numFmt w:val="bullet"/>
      <w:lvlText w:val="-"/>
      <w:lvlJc w:val="left"/>
      <w:pPr>
        <w:tabs>
          <w:tab w:val="num" w:pos="3600"/>
        </w:tabs>
        <w:ind w:left="3600" w:hanging="360"/>
      </w:pPr>
      <w:rPr>
        <w:rFonts w:ascii="Arial" w:hAnsi="Arial" w:hint="default"/>
      </w:rPr>
    </w:lvl>
    <w:lvl w:ilvl="5" w:tplc="68B0812C" w:tentative="1">
      <w:start w:val="1"/>
      <w:numFmt w:val="bullet"/>
      <w:lvlText w:val="-"/>
      <w:lvlJc w:val="left"/>
      <w:pPr>
        <w:tabs>
          <w:tab w:val="num" w:pos="4320"/>
        </w:tabs>
        <w:ind w:left="4320" w:hanging="360"/>
      </w:pPr>
      <w:rPr>
        <w:rFonts w:ascii="Arial" w:hAnsi="Arial" w:hint="default"/>
      </w:rPr>
    </w:lvl>
    <w:lvl w:ilvl="6" w:tplc="E4DA3C80" w:tentative="1">
      <w:start w:val="1"/>
      <w:numFmt w:val="bullet"/>
      <w:lvlText w:val="-"/>
      <w:lvlJc w:val="left"/>
      <w:pPr>
        <w:tabs>
          <w:tab w:val="num" w:pos="5040"/>
        </w:tabs>
        <w:ind w:left="5040" w:hanging="360"/>
      </w:pPr>
      <w:rPr>
        <w:rFonts w:ascii="Arial" w:hAnsi="Arial" w:hint="default"/>
      </w:rPr>
    </w:lvl>
    <w:lvl w:ilvl="7" w:tplc="522007E0" w:tentative="1">
      <w:start w:val="1"/>
      <w:numFmt w:val="bullet"/>
      <w:lvlText w:val="-"/>
      <w:lvlJc w:val="left"/>
      <w:pPr>
        <w:tabs>
          <w:tab w:val="num" w:pos="5760"/>
        </w:tabs>
        <w:ind w:left="5760" w:hanging="360"/>
      </w:pPr>
      <w:rPr>
        <w:rFonts w:ascii="Arial" w:hAnsi="Arial" w:hint="default"/>
      </w:rPr>
    </w:lvl>
    <w:lvl w:ilvl="8" w:tplc="79E4C2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7879E7"/>
    <w:multiLevelType w:val="multilevel"/>
    <w:tmpl w:val="766200F2"/>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48E4E3B"/>
    <w:multiLevelType w:val="hybridMultilevel"/>
    <w:tmpl w:val="F0E8951A"/>
    <w:lvl w:ilvl="0" w:tplc="6E426736">
      <w:numFmt w:val="bullet"/>
      <w:lvlText w:val="-"/>
      <w:lvlJc w:val="left"/>
      <w:pPr>
        <w:tabs>
          <w:tab w:val="num" w:pos="720"/>
        </w:tabs>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BD75F1"/>
    <w:multiLevelType w:val="hybridMultilevel"/>
    <w:tmpl w:val="7C1231EA"/>
    <w:lvl w:ilvl="0" w:tplc="6E426736">
      <w:numFmt w:val="bullet"/>
      <w:lvlText w:val="-"/>
      <w:lvlJc w:val="left"/>
      <w:pPr>
        <w:tabs>
          <w:tab w:val="num" w:pos="720"/>
        </w:tabs>
        <w:ind w:left="720" w:hanging="360"/>
      </w:pPr>
      <w:rPr>
        <w:rFonts w:ascii="Calibri" w:eastAsia="Times New Roman" w:hAnsi="Calibri" w:cs="Arial" w:hint="default"/>
      </w:rPr>
    </w:lvl>
    <w:lvl w:ilvl="1" w:tplc="6E426736">
      <w:numFmt w:val="bullet"/>
      <w:lvlText w:val="-"/>
      <w:lvlJc w:val="left"/>
      <w:pPr>
        <w:tabs>
          <w:tab w:val="num" w:pos="1440"/>
        </w:tabs>
        <w:ind w:left="1440" w:hanging="360"/>
      </w:pPr>
      <w:rPr>
        <w:rFonts w:ascii="Calibri" w:eastAsia="Times New Roman" w:hAnsi="Calibri" w:cs="Arial" w:hint="default"/>
      </w:rPr>
    </w:lvl>
    <w:lvl w:ilvl="2" w:tplc="0262C928" w:tentative="1">
      <w:start w:val="1"/>
      <w:numFmt w:val="bullet"/>
      <w:lvlText w:val=""/>
      <w:lvlJc w:val="left"/>
      <w:pPr>
        <w:tabs>
          <w:tab w:val="num" w:pos="2160"/>
        </w:tabs>
        <w:ind w:left="2160" w:hanging="360"/>
      </w:pPr>
      <w:rPr>
        <w:rFonts w:ascii="Wingdings 3" w:hAnsi="Wingdings 3" w:hint="default"/>
      </w:rPr>
    </w:lvl>
    <w:lvl w:ilvl="3" w:tplc="B464E5A6" w:tentative="1">
      <w:start w:val="1"/>
      <w:numFmt w:val="bullet"/>
      <w:lvlText w:val=""/>
      <w:lvlJc w:val="left"/>
      <w:pPr>
        <w:tabs>
          <w:tab w:val="num" w:pos="2880"/>
        </w:tabs>
        <w:ind w:left="2880" w:hanging="360"/>
      </w:pPr>
      <w:rPr>
        <w:rFonts w:ascii="Wingdings 3" w:hAnsi="Wingdings 3" w:hint="default"/>
      </w:rPr>
    </w:lvl>
    <w:lvl w:ilvl="4" w:tplc="94063A2C" w:tentative="1">
      <w:start w:val="1"/>
      <w:numFmt w:val="bullet"/>
      <w:lvlText w:val=""/>
      <w:lvlJc w:val="left"/>
      <w:pPr>
        <w:tabs>
          <w:tab w:val="num" w:pos="3600"/>
        </w:tabs>
        <w:ind w:left="3600" w:hanging="360"/>
      </w:pPr>
      <w:rPr>
        <w:rFonts w:ascii="Wingdings 3" w:hAnsi="Wingdings 3" w:hint="default"/>
      </w:rPr>
    </w:lvl>
    <w:lvl w:ilvl="5" w:tplc="1A00CF10" w:tentative="1">
      <w:start w:val="1"/>
      <w:numFmt w:val="bullet"/>
      <w:lvlText w:val=""/>
      <w:lvlJc w:val="left"/>
      <w:pPr>
        <w:tabs>
          <w:tab w:val="num" w:pos="4320"/>
        </w:tabs>
        <w:ind w:left="4320" w:hanging="360"/>
      </w:pPr>
      <w:rPr>
        <w:rFonts w:ascii="Wingdings 3" w:hAnsi="Wingdings 3" w:hint="default"/>
      </w:rPr>
    </w:lvl>
    <w:lvl w:ilvl="6" w:tplc="20164850" w:tentative="1">
      <w:start w:val="1"/>
      <w:numFmt w:val="bullet"/>
      <w:lvlText w:val=""/>
      <w:lvlJc w:val="left"/>
      <w:pPr>
        <w:tabs>
          <w:tab w:val="num" w:pos="5040"/>
        </w:tabs>
        <w:ind w:left="5040" w:hanging="360"/>
      </w:pPr>
      <w:rPr>
        <w:rFonts w:ascii="Wingdings 3" w:hAnsi="Wingdings 3" w:hint="default"/>
      </w:rPr>
    </w:lvl>
    <w:lvl w:ilvl="7" w:tplc="84566312" w:tentative="1">
      <w:start w:val="1"/>
      <w:numFmt w:val="bullet"/>
      <w:lvlText w:val=""/>
      <w:lvlJc w:val="left"/>
      <w:pPr>
        <w:tabs>
          <w:tab w:val="num" w:pos="5760"/>
        </w:tabs>
        <w:ind w:left="5760" w:hanging="360"/>
      </w:pPr>
      <w:rPr>
        <w:rFonts w:ascii="Wingdings 3" w:hAnsi="Wingdings 3" w:hint="default"/>
      </w:rPr>
    </w:lvl>
    <w:lvl w:ilvl="8" w:tplc="447238F0"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917467F"/>
    <w:multiLevelType w:val="hybridMultilevel"/>
    <w:tmpl w:val="5A56E8BC"/>
    <w:lvl w:ilvl="0" w:tplc="6E426736">
      <w:numFmt w:val="bullet"/>
      <w:lvlText w:val="-"/>
      <w:lvlJc w:val="left"/>
      <w:pPr>
        <w:tabs>
          <w:tab w:val="num" w:pos="720"/>
        </w:tabs>
        <w:ind w:left="720" w:hanging="360"/>
      </w:pPr>
      <w:rPr>
        <w:rFonts w:ascii="Calibri" w:eastAsia="Times New Roman" w:hAnsi="Calibri" w:cs="Arial" w:hint="default"/>
      </w:rPr>
    </w:lvl>
    <w:lvl w:ilvl="1" w:tplc="6E426736">
      <w:numFmt w:val="bullet"/>
      <w:lvlText w:val="-"/>
      <w:lvlJc w:val="left"/>
      <w:pPr>
        <w:tabs>
          <w:tab w:val="num" w:pos="1440"/>
        </w:tabs>
        <w:ind w:left="1440" w:hanging="360"/>
      </w:pPr>
      <w:rPr>
        <w:rFonts w:ascii="Calibri" w:eastAsia="Times New Roman" w:hAnsi="Calibri" w:cs="Arial" w:hint="default"/>
      </w:rPr>
    </w:lvl>
    <w:lvl w:ilvl="2" w:tplc="0262C928" w:tentative="1">
      <w:start w:val="1"/>
      <w:numFmt w:val="bullet"/>
      <w:lvlText w:val=""/>
      <w:lvlJc w:val="left"/>
      <w:pPr>
        <w:tabs>
          <w:tab w:val="num" w:pos="2160"/>
        </w:tabs>
        <w:ind w:left="2160" w:hanging="360"/>
      </w:pPr>
      <w:rPr>
        <w:rFonts w:ascii="Wingdings 3" w:hAnsi="Wingdings 3" w:hint="default"/>
      </w:rPr>
    </w:lvl>
    <w:lvl w:ilvl="3" w:tplc="B464E5A6" w:tentative="1">
      <w:start w:val="1"/>
      <w:numFmt w:val="bullet"/>
      <w:lvlText w:val=""/>
      <w:lvlJc w:val="left"/>
      <w:pPr>
        <w:tabs>
          <w:tab w:val="num" w:pos="2880"/>
        </w:tabs>
        <w:ind w:left="2880" w:hanging="360"/>
      </w:pPr>
      <w:rPr>
        <w:rFonts w:ascii="Wingdings 3" w:hAnsi="Wingdings 3" w:hint="default"/>
      </w:rPr>
    </w:lvl>
    <w:lvl w:ilvl="4" w:tplc="94063A2C" w:tentative="1">
      <w:start w:val="1"/>
      <w:numFmt w:val="bullet"/>
      <w:lvlText w:val=""/>
      <w:lvlJc w:val="left"/>
      <w:pPr>
        <w:tabs>
          <w:tab w:val="num" w:pos="3600"/>
        </w:tabs>
        <w:ind w:left="3600" w:hanging="360"/>
      </w:pPr>
      <w:rPr>
        <w:rFonts w:ascii="Wingdings 3" w:hAnsi="Wingdings 3" w:hint="default"/>
      </w:rPr>
    </w:lvl>
    <w:lvl w:ilvl="5" w:tplc="1A00CF10" w:tentative="1">
      <w:start w:val="1"/>
      <w:numFmt w:val="bullet"/>
      <w:lvlText w:val=""/>
      <w:lvlJc w:val="left"/>
      <w:pPr>
        <w:tabs>
          <w:tab w:val="num" w:pos="4320"/>
        </w:tabs>
        <w:ind w:left="4320" w:hanging="360"/>
      </w:pPr>
      <w:rPr>
        <w:rFonts w:ascii="Wingdings 3" w:hAnsi="Wingdings 3" w:hint="default"/>
      </w:rPr>
    </w:lvl>
    <w:lvl w:ilvl="6" w:tplc="20164850" w:tentative="1">
      <w:start w:val="1"/>
      <w:numFmt w:val="bullet"/>
      <w:lvlText w:val=""/>
      <w:lvlJc w:val="left"/>
      <w:pPr>
        <w:tabs>
          <w:tab w:val="num" w:pos="5040"/>
        </w:tabs>
        <w:ind w:left="5040" w:hanging="360"/>
      </w:pPr>
      <w:rPr>
        <w:rFonts w:ascii="Wingdings 3" w:hAnsi="Wingdings 3" w:hint="default"/>
      </w:rPr>
    </w:lvl>
    <w:lvl w:ilvl="7" w:tplc="84566312" w:tentative="1">
      <w:start w:val="1"/>
      <w:numFmt w:val="bullet"/>
      <w:lvlText w:val=""/>
      <w:lvlJc w:val="left"/>
      <w:pPr>
        <w:tabs>
          <w:tab w:val="num" w:pos="5760"/>
        </w:tabs>
        <w:ind w:left="5760" w:hanging="360"/>
      </w:pPr>
      <w:rPr>
        <w:rFonts w:ascii="Wingdings 3" w:hAnsi="Wingdings 3" w:hint="default"/>
      </w:rPr>
    </w:lvl>
    <w:lvl w:ilvl="8" w:tplc="447238F0"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BB760ED"/>
    <w:multiLevelType w:val="hybridMultilevel"/>
    <w:tmpl w:val="5E58B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2D2F68"/>
    <w:multiLevelType w:val="hybridMultilevel"/>
    <w:tmpl w:val="BE24198E"/>
    <w:lvl w:ilvl="0" w:tplc="7BD87916">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25470E"/>
    <w:multiLevelType w:val="hybridMultilevel"/>
    <w:tmpl w:val="55ACF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2532D3"/>
    <w:multiLevelType w:val="hybridMultilevel"/>
    <w:tmpl w:val="EA204B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8455E0D"/>
    <w:multiLevelType w:val="hybridMultilevel"/>
    <w:tmpl w:val="D8EC8360"/>
    <w:lvl w:ilvl="0" w:tplc="0C090001">
      <w:start w:val="1"/>
      <w:numFmt w:val="bullet"/>
      <w:lvlText w:val=""/>
      <w:lvlJc w:val="left"/>
      <w:pPr>
        <w:ind w:left="804" w:hanging="360"/>
      </w:pPr>
      <w:rPr>
        <w:rFonts w:ascii="Symbol" w:hAnsi="Symbol" w:hint="default"/>
      </w:rPr>
    </w:lvl>
    <w:lvl w:ilvl="1" w:tplc="0C090003" w:tentative="1">
      <w:start w:val="1"/>
      <w:numFmt w:val="bullet"/>
      <w:lvlText w:val="o"/>
      <w:lvlJc w:val="left"/>
      <w:pPr>
        <w:ind w:left="1524" w:hanging="360"/>
      </w:pPr>
      <w:rPr>
        <w:rFonts w:ascii="Courier New" w:hAnsi="Courier New" w:cs="Courier New" w:hint="default"/>
      </w:rPr>
    </w:lvl>
    <w:lvl w:ilvl="2" w:tplc="0C090005" w:tentative="1">
      <w:start w:val="1"/>
      <w:numFmt w:val="bullet"/>
      <w:lvlText w:val=""/>
      <w:lvlJc w:val="left"/>
      <w:pPr>
        <w:ind w:left="2244" w:hanging="360"/>
      </w:pPr>
      <w:rPr>
        <w:rFonts w:ascii="Wingdings" w:hAnsi="Wingdings" w:hint="default"/>
      </w:rPr>
    </w:lvl>
    <w:lvl w:ilvl="3" w:tplc="0C090001" w:tentative="1">
      <w:start w:val="1"/>
      <w:numFmt w:val="bullet"/>
      <w:lvlText w:val=""/>
      <w:lvlJc w:val="left"/>
      <w:pPr>
        <w:ind w:left="2964" w:hanging="360"/>
      </w:pPr>
      <w:rPr>
        <w:rFonts w:ascii="Symbol" w:hAnsi="Symbol" w:hint="default"/>
      </w:rPr>
    </w:lvl>
    <w:lvl w:ilvl="4" w:tplc="0C090003" w:tentative="1">
      <w:start w:val="1"/>
      <w:numFmt w:val="bullet"/>
      <w:lvlText w:val="o"/>
      <w:lvlJc w:val="left"/>
      <w:pPr>
        <w:ind w:left="3684" w:hanging="360"/>
      </w:pPr>
      <w:rPr>
        <w:rFonts w:ascii="Courier New" w:hAnsi="Courier New" w:cs="Courier New" w:hint="default"/>
      </w:rPr>
    </w:lvl>
    <w:lvl w:ilvl="5" w:tplc="0C090005" w:tentative="1">
      <w:start w:val="1"/>
      <w:numFmt w:val="bullet"/>
      <w:lvlText w:val=""/>
      <w:lvlJc w:val="left"/>
      <w:pPr>
        <w:ind w:left="4404" w:hanging="360"/>
      </w:pPr>
      <w:rPr>
        <w:rFonts w:ascii="Wingdings" w:hAnsi="Wingdings" w:hint="default"/>
      </w:rPr>
    </w:lvl>
    <w:lvl w:ilvl="6" w:tplc="0C090001" w:tentative="1">
      <w:start w:val="1"/>
      <w:numFmt w:val="bullet"/>
      <w:lvlText w:val=""/>
      <w:lvlJc w:val="left"/>
      <w:pPr>
        <w:ind w:left="5124" w:hanging="360"/>
      </w:pPr>
      <w:rPr>
        <w:rFonts w:ascii="Symbol" w:hAnsi="Symbol" w:hint="default"/>
      </w:rPr>
    </w:lvl>
    <w:lvl w:ilvl="7" w:tplc="0C090003" w:tentative="1">
      <w:start w:val="1"/>
      <w:numFmt w:val="bullet"/>
      <w:lvlText w:val="o"/>
      <w:lvlJc w:val="left"/>
      <w:pPr>
        <w:ind w:left="5844" w:hanging="360"/>
      </w:pPr>
      <w:rPr>
        <w:rFonts w:ascii="Courier New" w:hAnsi="Courier New" w:cs="Courier New" w:hint="default"/>
      </w:rPr>
    </w:lvl>
    <w:lvl w:ilvl="8" w:tplc="0C090005" w:tentative="1">
      <w:start w:val="1"/>
      <w:numFmt w:val="bullet"/>
      <w:lvlText w:val=""/>
      <w:lvlJc w:val="left"/>
      <w:pPr>
        <w:ind w:left="6564" w:hanging="360"/>
      </w:pPr>
      <w:rPr>
        <w:rFonts w:ascii="Wingdings" w:hAnsi="Wingdings" w:hint="default"/>
      </w:rPr>
    </w:lvl>
  </w:abstractNum>
  <w:abstractNum w:abstractNumId="11" w15:restartNumberingAfterBreak="0">
    <w:nsid w:val="3B166AA9"/>
    <w:multiLevelType w:val="hybridMultilevel"/>
    <w:tmpl w:val="51604224"/>
    <w:lvl w:ilvl="0" w:tplc="7BD87916">
      <w:start w:val="1"/>
      <w:numFmt w:val="bullet"/>
      <w:lvlText w:val="-"/>
      <w:lvlJc w:val="left"/>
      <w:pPr>
        <w:tabs>
          <w:tab w:val="num" w:pos="360"/>
        </w:tabs>
        <w:ind w:left="360" w:hanging="360"/>
      </w:pPr>
      <w:rPr>
        <w:rFonts w:ascii="Arial" w:hAnsi="Arial" w:hint="default"/>
      </w:rPr>
    </w:lvl>
    <w:lvl w:ilvl="1" w:tplc="AFE21206" w:tentative="1">
      <w:start w:val="1"/>
      <w:numFmt w:val="bullet"/>
      <w:lvlText w:val="-"/>
      <w:lvlJc w:val="left"/>
      <w:pPr>
        <w:tabs>
          <w:tab w:val="num" w:pos="1080"/>
        </w:tabs>
        <w:ind w:left="1080" w:hanging="360"/>
      </w:pPr>
      <w:rPr>
        <w:rFonts w:ascii="Arial" w:hAnsi="Arial" w:hint="default"/>
      </w:rPr>
    </w:lvl>
    <w:lvl w:ilvl="2" w:tplc="B59CD334" w:tentative="1">
      <w:start w:val="1"/>
      <w:numFmt w:val="bullet"/>
      <w:lvlText w:val="-"/>
      <w:lvlJc w:val="left"/>
      <w:pPr>
        <w:tabs>
          <w:tab w:val="num" w:pos="1800"/>
        </w:tabs>
        <w:ind w:left="1800" w:hanging="360"/>
      </w:pPr>
      <w:rPr>
        <w:rFonts w:ascii="Arial" w:hAnsi="Arial" w:hint="default"/>
      </w:rPr>
    </w:lvl>
    <w:lvl w:ilvl="3" w:tplc="15F4A25E" w:tentative="1">
      <w:start w:val="1"/>
      <w:numFmt w:val="bullet"/>
      <w:lvlText w:val="-"/>
      <w:lvlJc w:val="left"/>
      <w:pPr>
        <w:tabs>
          <w:tab w:val="num" w:pos="2520"/>
        </w:tabs>
        <w:ind w:left="2520" w:hanging="360"/>
      </w:pPr>
      <w:rPr>
        <w:rFonts w:ascii="Arial" w:hAnsi="Arial" w:hint="default"/>
      </w:rPr>
    </w:lvl>
    <w:lvl w:ilvl="4" w:tplc="58E00AAA" w:tentative="1">
      <w:start w:val="1"/>
      <w:numFmt w:val="bullet"/>
      <w:lvlText w:val="-"/>
      <w:lvlJc w:val="left"/>
      <w:pPr>
        <w:tabs>
          <w:tab w:val="num" w:pos="3240"/>
        </w:tabs>
        <w:ind w:left="3240" w:hanging="360"/>
      </w:pPr>
      <w:rPr>
        <w:rFonts w:ascii="Arial" w:hAnsi="Arial" w:hint="default"/>
      </w:rPr>
    </w:lvl>
    <w:lvl w:ilvl="5" w:tplc="9C68CAE0" w:tentative="1">
      <w:start w:val="1"/>
      <w:numFmt w:val="bullet"/>
      <w:lvlText w:val="-"/>
      <w:lvlJc w:val="left"/>
      <w:pPr>
        <w:tabs>
          <w:tab w:val="num" w:pos="3960"/>
        </w:tabs>
        <w:ind w:left="3960" w:hanging="360"/>
      </w:pPr>
      <w:rPr>
        <w:rFonts w:ascii="Arial" w:hAnsi="Arial" w:hint="default"/>
      </w:rPr>
    </w:lvl>
    <w:lvl w:ilvl="6" w:tplc="A044FF0A" w:tentative="1">
      <w:start w:val="1"/>
      <w:numFmt w:val="bullet"/>
      <w:lvlText w:val="-"/>
      <w:lvlJc w:val="left"/>
      <w:pPr>
        <w:tabs>
          <w:tab w:val="num" w:pos="4680"/>
        </w:tabs>
        <w:ind w:left="4680" w:hanging="360"/>
      </w:pPr>
      <w:rPr>
        <w:rFonts w:ascii="Arial" w:hAnsi="Arial" w:hint="default"/>
      </w:rPr>
    </w:lvl>
    <w:lvl w:ilvl="7" w:tplc="B0E6F8AE" w:tentative="1">
      <w:start w:val="1"/>
      <w:numFmt w:val="bullet"/>
      <w:lvlText w:val="-"/>
      <w:lvlJc w:val="left"/>
      <w:pPr>
        <w:tabs>
          <w:tab w:val="num" w:pos="5400"/>
        </w:tabs>
        <w:ind w:left="5400" w:hanging="360"/>
      </w:pPr>
      <w:rPr>
        <w:rFonts w:ascii="Arial" w:hAnsi="Arial" w:hint="default"/>
      </w:rPr>
    </w:lvl>
    <w:lvl w:ilvl="8" w:tplc="D12E8FF8"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3B781ACD"/>
    <w:multiLevelType w:val="hybridMultilevel"/>
    <w:tmpl w:val="E69439D6"/>
    <w:lvl w:ilvl="0" w:tplc="350EBE9A">
      <w:start w:val="1"/>
      <w:numFmt w:val="bullet"/>
      <w:lvlText w:val=""/>
      <w:lvlJc w:val="left"/>
      <w:pPr>
        <w:tabs>
          <w:tab w:val="num" w:pos="720"/>
        </w:tabs>
        <w:ind w:left="720" w:hanging="360"/>
      </w:pPr>
      <w:rPr>
        <w:rFonts w:ascii="Wingdings 3" w:hAnsi="Wingdings 3" w:hint="default"/>
      </w:rPr>
    </w:lvl>
    <w:lvl w:ilvl="1" w:tplc="9F3EA8BE">
      <w:start w:val="23"/>
      <w:numFmt w:val="bullet"/>
      <w:lvlText w:val=""/>
      <w:lvlJc w:val="left"/>
      <w:pPr>
        <w:tabs>
          <w:tab w:val="num" w:pos="1440"/>
        </w:tabs>
        <w:ind w:left="1440" w:hanging="360"/>
      </w:pPr>
      <w:rPr>
        <w:rFonts w:ascii="Wingdings 3" w:hAnsi="Wingdings 3" w:hint="default"/>
      </w:rPr>
    </w:lvl>
    <w:lvl w:ilvl="2" w:tplc="EACC2B7E" w:tentative="1">
      <w:start w:val="1"/>
      <w:numFmt w:val="bullet"/>
      <w:lvlText w:val=""/>
      <w:lvlJc w:val="left"/>
      <w:pPr>
        <w:tabs>
          <w:tab w:val="num" w:pos="2160"/>
        </w:tabs>
        <w:ind w:left="2160" w:hanging="360"/>
      </w:pPr>
      <w:rPr>
        <w:rFonts w:ascii="Wingdings 3" w:hAnsi="Wingdings 3" w:hint="default"/>
      </w:rPr>
    </w:lvl>
    <w:lvl w:ilvl="3" w:tplc="C58E7386" w:tentative="1">
      <w:start w:val="1"/>
      <w:numFmt w:val="bullet"/>
      <w:lvlText w:val=""/>
      <w:lvlJc w:val="left"/>
      <w:pPr>
        <w:tabs>
          <w:tab w:val="num" w:pos="2880"/>
        </w:tabs>
        <w:ind w:left="2880" w:hanging="360"/>
      </w:pPr>
      <w:rPr>
        <w:rFonts w:ascii="Wingdings 3" w:hAnsi="Wingdings 3" w:hint="default"/>
      </w:rPr>
    </w:lvl>
    <w:lvl w:ilvl="4" w:tplc="6DC8010A" w:tentative="1">
      <w:start w:val="1"/>
      <w:numFmt w:val="bullet"/>
      <w:lvlText w:val=""/>
      <w:lvlJc w:val="left"/>
      <w:pPr>
        <w:tabs>
          <w:tab w:val="num" w:pos="3600"/>
        </w:tabs>
        <w:ind w:left="3600" w:hanging="360"/>
      </w:pPr>
      <w:rPr>
        <w:rFonts w:ascii="Wingdings 3" w:hAnsi="Wingdings 3" w:hint="default"/>
      </w:rPr>
    </w:lvl>
    <w:lvl w:ilvl="5" w:tplc="4C886870" w:tentative="1">
      <w:start w:val="1"/>
      <w:numFmt w:val="bullet"/>
      <w:lvlText w:val=""/>
      <w:lvlJc w:val="left"/>
      <w:pPr>
        <w:tabs>
          <w:tab w:val="num" w:pos="4320"/>
        </w:tabs>
        <w:ind w:left="4320" w:hanging="360"/>
      </w:pPr>
      <w:rPr>
        <w:rFonts w:ascii="Wingdings 3" w:hAnsi="Wingdings 3" w:hint="default"/>
      </w:rPr>
    </w:lvl>
    <w:lvl w:ilvl="6" w:tplc="142E7F4E" w:tentative="1">
      <w:start w:val="1"/>
      <w:numFmt w:val="bullet"/>
      <w:lvlText w:val=""/>
      <w:lvlJc w:val="left"/>
      <w:pPr>
        <w:tabs>
          <w:tab w:val="num" w:pos="5040"/>
        </w:tabs>
        <w:ind w:left="5040" w:hanging="360"/>
      </w:pPr>
      <w:rPr>
        <w:rFonts w:ascii="Wingdings 3" w:hAnsi="Wingdings 3" w:hint="default"/>
      </w:rPr>
    </w:lvl>
    <w:lvl w:ilvl="7" w:tplc="41CEF480" w:tentative="1">
      <w:start w:val="1"/>
      <w:numFmt w:val="bullet"/>
      <w:lvlText w:val=""/>
      <w:lvlJc w:val="left"/>
      <w:pPr>
        <w:tabs>
          <w:tab w:val="num" w:pos="5760"/>
        </w:tabs>
        <w:ind w:left="5760" w:hanging="360"/>
      </w:pPr>
      <w:rPr>
        <w:rFonts w:ascii="Wingdings 3" w:hAnsi="Wingdings 3" w:hint="default"/>
      </w:rPr>
    </w:lvl>
    <w:lvl w:ilvl="8" w:tplc="98326172"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C2063BA"/>
    <w:multiLevelType w:val="hybridMultilevel"/>
    <w:tmpl w:val="D5D4D532"/>
    <w:lvl w:ilvl="0" w:tplc="C5EC647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9F7486"/>
    <w:multiLevelType w:val="hybridMultilevel"/>
    <w:tmpl w:val="ED6C0BD8"/>
    <w:lvl w:ilvl="0" w:tplc="6E426736">
      <w:numFmt w:val="bullet"/>
      <w:lvlText w:val="-"/>
      <w:lvlJc w:val="left"/>
      <w:pPr>
        <w:ind w:left="720" w:hanging="360"/>
      </w:pPr>
      <w:rPr>
        <w:rFonts w:ascii="Calibri" w:eastAsia="Times New Roman"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BD3B76"/>
    <w:multiLevelType w:val="hybridMultilevel"/>
    <w:tmpl w:val="CFEC083E"/>
    <w:lvl w:ilvl="0" w:tplc="7BD87916">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FEB2FBD"/>
    <w:multiLevelType w:val="hybridMultilevel"/>
    <w:tmpl w:val="32A07124"/>
    <w:lvl w:ilvl="0" w:tplc="6E426736">
      <w:numFmt w:val="bullet"/>
      <w:lvlText w:val="-"/>
      <w:lvlJc w:val="left"/>
      <w:pPr>
        <w:tabs>
          <w:tab w:val="num" w:pos="720"/>
        </w:tabs>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7E058A"/>
    <w:multiLevelType w:val="hybridMultilevel"/>
    <w:tmpl w:val="7CF2B5FC"/>
    <w:lvl w:ilvl="0" w:tplc="6E426736">
      <w:numFmt w:val="bullet"/>
      <w:lvlText w:val="-"/>
      <w:lvlJc w:val="left"/>
      <w:pPr>
        <w:ind w:left="720" w:hanging="360"/>
      </w:pPr>
      <w:rPr>
        <w:rFonts w:ascii="Calibri" w:eastAsia="Times New Roman"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DC3AF5"/>
    <w:multiLevelType w:val="hybridMultilevel"/>
    <w:tmpl w:val="0068E656"/>
    <w:lvl w:ilvl="0" w:tplc="7BD87916">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FE7361"/>
    <w:multiLevelType w:val="hybridMultilevel"/>
    <w:tmpl w:val="5B344FCA"/>
    <w:lvl w:ilvl="0" w:tplc="75F0104E">
      <w:start w:val="1"/>
      <w:numFmt w:val="bullet"/>
      <w:lvlText w:val="•"/>
      <w:lvlJc w:val="left"/>
      <w:pPr>
        <w:tabs>
          <w:tab w:val="num" w:pos="720"/>
        </w:tabs>
        <w:ind w:left="720" w:hanging="360"/>
      </w:pPr>
      <w:rPr>
        <w:rFonts w:ascii="Arial" w:hAnsi="Arial" w:hint="default"/>
      </w:rPr>
    </w:lvl>
    <w:lvl w:ilvl="1" w:tplc="F616472E" w:tentative="1">
      <w:start w:val="1"/>
      <w:numFmt w:val="bullet"/>
      <w:lvlText w:val="•"/>
      <w:lvlJc w:val="left"/>
      <w:pPr>
        <w:tabs>
          <w:tab w:val="num" w:pos="1440"/>
        </w:tabs>
        <w:ind w:left="1440" w:hanging="360"/>
      </w:pPr>
      <w:rPr>
        <w:rFonts w:ascii="Arial" w:hAnsi="Arial" w:hint="default"/>
      </w:rPr>
    </w:lvl>
    <w:lvl w:ilvl="2" w:tplc="1E32ED9E" w:tentative="1">
      <w:start w:val="1"/>
      <w:numFmt w:val="bullet"/>
      <w:lvlText w:val="•"/>
      <w:lvlJc w:val="left"/>
      <w:pPr>
        <w:tabs>
          <w:tab w:val="num" w:pos="2160"/>
        </w:tabs>
        <w:ind w:left="2160" w:hanging="360"/>
      </w:pPr>
      <w:rPr>
        <w:rFonts w:ascii="Arial" w:hAnsi="Arial" w:hint="default"/>
      </w:rPr>
    </w:lvl>
    <w:lvl w:ilvl="3" w:tplc="47A61386" w:tentative="1">
      <w:start w:val="1"/>
      <w:numFmt w:val="bullet"/>
      <w:lvlText w:val="•"/>
      <w:lvlJc w:val="left"/>
      <w:pPr>
        <w:tabs>
          <w:tab w:val="num" w:pos="2880"/>
        </w:tabs>
        <w:ind w:left="2880" w:hanging="360"/>
      </w:pPr>
      <w:rPr>
        <w:rFonts w:ascii="Arial" w:hAnsi="Arial" w:hint="default"/>
      </w:rPr>
    </w:lvl>
    <w:lvl w:ilvl="4" w:tplc="62A02A6E" w:tentative="1">
      <w:start w:val="1"/>
      <w:numFmt w:val="bullet"/>
      <w:lvlText w:val="•"/>
      <w:lvlJc w:val="left"/>
      <w:pPr>
        <w:tabs>
          <w:tab w:val="num" w:pos="3600"/>
        </w:tabs>
        <w:ind w:left="3600" w:hanging="360"/>
      </w:pPr>
      <w:rPr>
        <w:rFonts w:ascii="Arial" w:hAnsi="Arial" w:hint="default"/>
      </w:rPr>
    </w:lvl>
    <w:lvl w:ilvl="5" w:tplc="4C5CBF98" w:tentative="1">
      <w:start w:val="1"/>
      <w:numFmt w:val="bullet"/>
      <w:lvlText w:val="•"/>
      <w:lvlJc w:val="left"/>
      <w:pPr>
        <w:tabs>
          <w:tab w:val="num" w:pos="4320"/>
        </w:tabs>
        <w:ind w:left="4320" w:hanging="360"/>
      </w:pPr>
      <w:rPr>
        <w:rFonts w:ascii="Arial" w:hAnsi="Arial" w:hint="default"/>
      </w:rPr>
    </w:lvl>
    <w:lvl w:ilvl="6" w:tplc="AB4ADF82" w:tentative="1">
      <w:start w:val="1"/>
      <w:numFmt w:val="bullet"/>
      <w:lvlText w:val="•"/>
      <w:lvlJc w:val="left"/>
      <w:pPr>
        <w:tabs>
          <w:tab w:val="num" w:pos="5040"/>
        </w:tabs>
        <w:ind w:left="5040" w:hanging="360"/>
      </w:pPr>
      <w:rPr>
        <w:rFonts w:ascii="Arial" w:hAnsi="Arial" w:hint="default"/>
      </w:rPr>
    </w:lvl>
    <w:lvl w:ilvl="7" w:tplc="267A994E" w:tentative="1">
      <w:start w:val="1"/>
      <w:numFmt w:val="bullet"/>
      <w:lvlText w:val="•"/>
      <w:lvlJc w:val="left"/>
      <w:pPr>
        <w:tabs>
          <w:tab w:val="num" w:pos="5760"/>
        </w:tabs>
        <w:ind w:left="5760" w:hanging="360"/>
      </w:pPr>
      <w:rPr>
        <w:rFonts w:ascii="Arial" w:hAnsi="Arial" w:hint="default"/>
      </w:rPr>
    </w:lvl>
    <w:lvl w:ilvl="8" w:tplc="DA9E5E8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D6E0A7E"/>
    <w:multiLevelType w:val="hybridMultilevel"/>
    <w:tmpl w:val="79040418"/>
    <w:lvl w:ilvl="0" w:tplc="6E426736">
      <w:numFmt w:val="bullet"/>
      <w:lvlText w:val="-"/>
      <w:lvlJc w:val="left"/>
      <w:pPr>
        <w:tabs>
          <w:tab w:val="num" w:pos="720"/>
        </w:tabs>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534271"/>
    <w:multiLevelType w:val="hybridMultilevel"/>
    <w:tmpl w:val="5BAC61E0"/>
    <w:lvl w:ilvl="0" w:tplc="6E426736">
      <w:numFmt w:val="bullet"/>
      <w:lvlText w:val="-"/>
      <w:lvlJc w:val="left"/>
      <w:pPr>
        <w:tabs>
          <w:tab w:val="num" w:pos="720"/>
        </w:tabs>
        <w:ind w:left="720" w:hanging="360"/>
      </w:pPr>
      <w:rPr>
        <w:rFonts w:ascii="Calibri" w:eastAsia="Times New Roman" w:hAnsi="Calibri" w:cs="Arial" w:hint="default"/>
      </w:rPr>
    </w:lvl>
    <w:lvl w:ilvl="1" w:tplc="A128282E" w:tentative="1">
      <w:start w:val="1"/>
      <w:numFmt w:val="bullet"/>
      <w:lvlText w:val=""/>
      <w:lvlJc w:val="left"/>
      <w:pPr>
        <w:tabs>
          <w:tab w:val="num" w:pos="1440"/>
        </w:tabs>
        <w:ind w:left="1440" w:hanging="360"/>
      </w:pPr>
      <w:rPr>
        <w:rFonts w:ascii="Wingdings 3" w:hAnsi="Wingdings 3" w:hint="default"/>
      </w:rPr>
    </w:lvl>
    <w:lvl w:ilvl="2" w:tplc="BDB078FC" w:tentative="1">
      <w:start w:val="1"/>
      <w:numFmt w:val="bullet"/>
      <w:lvlText w:val=""/>
      <w:lvlJc w:val="left"/>
      <w:pPr>
        <w:tabs>
          <w:tab w:val="num" w:pos="2160"/>
        </w:tabs>
        <w:ind w:left="2160" w:hanging="360"/>
      </w:pPr>
      <w:rPr>
        <w:rFonts w:ascii="Wingdings 3" w:hAnsi="Wingdings 3" w:hint="default"/>
      </w:rPr>
    </w:lvl>
    <w:lvl w:ilvl="3" w:tplc="B8CE285E" w:tentative="1">
      <w:start w:val="1"/>
      <w:numFmt w:val="bullet"/>
      <w:lvlText w:val=""/>
      <w:lvlJc w:val="left"/>
      <w:pPr>
        <w:tabs>
          <w:tab w:val="num" w:pos="2880"/>
        </w:tabs>
        <w:ind w:left="2880" w:hanging="360"/>
      </w:pPr>
      <w:rPr>
        <w:rFonts w:ascii="Wingdings 3" w:hAnsi="Wingdings 3" w:hint="default"/>
      </w:rPr>
    </w:lvl>
    <w:lvl w:ilvl="4" w:tplc="1E14592C" w:tentative="1">
      <w:start w:val="1"/>
      <w:numFmt w:val="bullet"/>
      <w:lvlText w:val=""/>
      <w:lvlJc w:val="left"/>
      <w:pPr>
        <w:tabs>
          <w:tab w:val="num" w:pos="3600"/>
        </w:tabs>
        <w:ind w:left="3600" w:hanging="360"/>
      </w:pPr>
      <w:rPr>
        <w:rFonts w:ascii="Wingdings 3" w:hAnsi="Wingdings 3" w:hint="default"/>
      </w:rPr>
    </w:lvl>
    <w:lvl w:ilvl="5" w:tplc="5826452E" w:tentative="1">
      <w:start w:val="1"/>
      <w:numFmt w:val="bullet"/>
      <w:lvlText w:val=""/>
      <w:lvlJc w:val="left"/>
      <w:pPr>
        <w:tabs>
          <w:tab w:val="num" w:pos="4320"/>
        </w:tabs>
        <w:ind w:left="4320" w:hanging="360"/>
      </w:pPr>
      <w:rPr>
        <w:rFonts w:ascii="Wingdings 3" w:hAnsi="Wingdings 3" w:hint="default"/>
      </w:rPr>
    </w:lvl>
    <w:lvl w:ilvl="6" w:tplc="8BA84BF6" w:tentative="1">
      <w:start w:val="1"/>
      <w:numFmt w:val="bullet"/>
      <w:lvlText w:val=""/>
      <w:lvlJc w:val="left"/>
      <w:pPr>
        <w:tabs>
          <w:tab w:val="num" w:pos="5040"/>
        </w:tabs>
        <w:ind w:left="5040" w:hanging="360"/>
      </w:pPr>
      <w:rPr>
        <w:rFonts w:ascii="Wingdings 3" w:hAnsi="Wingdings 3" w:hint="default"/>
      </w:rPr>
    </w:lvl>
    <w:lvl w:ilvl="7" w:tplc="6D10560E" w:tentative="1">
      <w:start w:val="1"/>
      <w:numFmt w:val="bullet"/>
      <w:lvlText w:val=""/>
      <w:lvlJc w:val="left"/>
      <w:pPr>
        <w:tabs>
          <w:tab w:val="num" w:pos="5760"/>
        </w:tabs>
        <w:ind w:left="5760" w:hanging="360"/>
      </w:pPr>
      <w:rPr>
        <w:rFonts w:ascii="Wingdings 3" w:hAnsi="Wingdings 3" w:hint="default"/>
      </w:rPr>
    </w:lvl>
    <w:lvl w:ilvl="8" w:tplc="D6622D56"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6B6958CB"/>
    <w:multiLevelType w:val="hybridMultilevel"/>
    <w:tmpl w:val="5282A678"/>
    <w:lvl w:ilvl="0" w:tplc="9F702238">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FE31E7"/>
    <w:multiLevelType w:val="hybridMultilevel"/>
    <w:tmpl w:val="1D46732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DA11891"/>
    <w:multiLevelType w:val="hybridMultilevel"/>
    <w:tmpl w:val="684E1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297095"/>
    <w:multiLevelType w:val="hybridMultilevel"/>
    <w:tmpl w:val="7BFE4820"/>
    <w:lvl w:ilvl="0" w:tplc="C67AD5A4">
      <w:start w:val="2015"/>
      <w:numFmt w:val="bullet"/>
      <w:lvlText w:val="-"/>
      <w:lvlJc w:val="left"/>
      <w:pPr>
        <w:ind w:left="720" w:hanging="360"/>
      </w:pPr>
      <w:rPr>
        <w:rFonts w:ascii="Arial" w:eastAsia="SimSun"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880E86"/>
    <w:multiLevelType w:val="hybridMultilevel"/>
    <w:tmpl w:val="9550A662"/>
    <w:lvl w:ilvl="0" w:tplc="7BD87916">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524DCC"/>
    <w:multiLevelType w:val="multilevel"/>
    <w:tmpl w:val="872E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4E38B2"/>
    <w:multiLevelType w:val="multilevel"/>
    <w:tmpl w:val="7F2EACA6"/>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num w:numId="1">
    <w:abstractNumId w:val="11"/>
  </w:num>
  <w:num w:numId="2">
    <w:abstractNumId w:val="19"/>
  </w:num>
  <w:num w:numId="3">
    <w:abstractNumId w:val="1"/>
  </w:num>
  <w:num w:numId="4">
    <w:abstractNumId w:val="8"/>
  </w:num>
  <w:num w:numId="5">
    <w:abstractNumId w:val="28"/>
  </w:num>
  <w:num w:numId="6">
    <w:abstractNumId w:val="17"/>
  </w:num>
  <w:num w:numId="7">
    <w:abstractNumId w:val="14"/>
  </w:num>
  <w:num w:numId="8">
    <w:abstractNumId w:val="21"/>
  </w:num>
  <w:num w:numId="9">
    <w:abstractNumId w:val="2"/>
  </w:num>
  <w:num w:numId="10">
    <w:abstractNumId w:val="4"/>
  </w:num>
  <w:num w:numId="11">
    <w:abstractNumId w:val="5"/>
  </w:num>
  <w:num w:numId="12">
    <w:abstractNumId w:val="6"/>
  </w:num>
  <w:num w:numId="13">
    <w:abstractNumId w:val="22"/>
  </w:num>
  <w:num w:numId="14">
    <w:abstractNumId w:val="16"/>
  </w:num>
  <w:num w:numId="15">
    <w:abstractNumId w:val="26"/>
  </w:num>
  <w:num w:numId="16">
    <w:abstractNumId w:val="3"/>
  </w:num>
  <w:num w:numId="17">
    <w:abstractNumId w:val="25"/>
  </w:num>
  <w:num w:numId="18">
    <w:abstractNumId w:val="9"/>
  </w:num>
  <w:num w:numId="19">
    <w:abstractNumId w:val="20"/>
  </w:num>
  <w:num w:numId="20">
    <w:abstractNumId w:val="13"/>
  </w:num>
  <w:num w:numId="21">
    <w:abstractNumId w:val="0"/>
  </w:num>
  <w:num w:numId="22">
    <w:abstractNumId w:val="23"/>
  </w:num>
  <w:num w:numId="23">
    <w:abstractNumId w:val="10"/>
  </w:num>
  <w:num w:numId="24">
    <w:abstractNumId w:val="15"/>
  </w:num>
  <w:num w:numId="25">
    <w:abstractNumId w:val="18"/>
  </w:num>
  <w:num w:numId="26">
    <w:abstractNumId w:val="7"/>
  </w:num>
  <w:num w:numId="27">
    <w:abstractNumId w:val="24"/>
  </w:num>
  <w:num w:numId="28">
    <w:abstractNumId w:val="2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02"/>
    <w:rsid w:val="0002529E"/>
    <w:rsid w:val="00043A30"/>
    <w:rsid w:val="00072492"/>
    <w:rsid w:val="00097784"/>
    <w:rsid w:val="000B36C5"/>
    <w:rsid w:val="000C24A1"/>
    <w:rsid w:val="000C3169"/>
    <w:rsid w:val="000F4DC9"/>
    <w:rsid w:val="0012302B"/>
    <w:rsid w:val="00125ABB"/>
    <w:rsid w:val="00145DB6"/>
    <w:rsid w:val="00153212"/>
    <w:rsid w:val="00153728"/>
    <w:rsid w:val="00170A94"/>
    <w:rsid w:val="001A60CD"/>
    <w:rsid w:val="001A74C3"/>
    <w:rsid w:val="001D1BC5"/>
    <w:rsid w:val="001D2402"/>
    <w:rsid w:val="001E796D"/>
    <w:rsid w:val="00216421"/>
    <w:rsid w:val="00223B0F"/>
    <w:rsid w:val="00224413"/>
    <w:rsid w:val="00242770"/>
    <w:rsid w:val="00251714"/>
    <w:rsid w:val="00257C23"/>
    <w:rsid w:val="00292A26"/>
    <w:rsid w:val="002E1514"/>
    <w:rsid w:val="003112DA"/>
    <w:rsid w:val="003210A2"/>
    <w:rsid w:val="0032229E"/>
    <w:rsid w:val="00326261"/>
    <w:rsid w:val="00341AF4"/>
    <w:rsid w:val="003475FB"/>
    <w:rsid w:val="003510B6"/>
    <w:rsid w:val="00391E18"/>
    <w:rsid w:val="003920AD"/>
    <w:rsid w:val="003A23FB"/>
    <w:rsid w:val="003B5C59"/>
    <w:rsid w:val="003B7E04"/>
    <w:rsid w:val="003C5BAF"/>
    <w:rsid w:val="00406DF3"/>
    <w:rsid w:val="00407D1F"/>
    <w:rsid w:val="00420D3C"/>
    <w:rsid w:val="00424A45"/>
    <w:rsid w:val="004477A8"/>
    <w:rsid w:val="004604CA"/>
    <w:rsid w:val="00477E3B"/>
    <w:rsid w:val="004A4F1E"/>
    <w:rsid w:val="004B6C33"/>
    <w:rsid w:val="004D4B2F"/>
    <w:rsid w:val="004F7CD4"/>
    <w:rsid w:val="0051006B"/>
    <w:rsid w:val="00532E12"/>
    <w:rsid w:val="00560607"/>
    <w:rsid w:val="005618FA"/>
    <w:rsid w:val="00587C97"/>
    <w:rsid w:val="00592335"/>
    <w:rsid w:val="00592391"/>
    <w:rsid w:val="00597310"/>
    <w:rsid w:val="005A1F1E"/>
    <w:rsid w:val="005B597C"/>
    <w:rsid w:val="005C3640"/>
    <w:rsid w:val="005D3011"/>
    <w:rsid w:val="00604606"/>
    <w:rsid w:val="00606142"/>
    <w:rsid w:val="00610B43"/>
    <w:rsid w:val="0062254B"/>
    <w:rsid w:val="0064596A"/>
    <w:rsid w:val="00646D5F"/>
    <w:rsid w:val="006565FC"/>
    <w:rsid w:val="00657924"/>
    <w:rsid w:val="00667842"/>
    <w:rsid w:val="00676C0C"/>
    <w:rsid w:val="0069662F"/>
    <w:rsid w:val="006A2D46"/>
    <w:rsid w:val="006D0341"/>
    <w:rsid w:val="006D3E60"/>
    <w:rsid w:val="006D7F9A"/>
    <w:rsid w:val="006E317C"/>
    <w:rsid w:val="00710CC8"/>
    <w:rsid w:val="0071115D"/>
    <w:rsid w:val="00715514"/>
    <w:rsid w:val="007253AE"/>
    <w:rsid w:val="00732E88"/>
    <w:rsid w:val="007509B3"/>
    <w:rsid w:val="00756E3E"/>
    <w:rsid w:val="00764116"/>
    <w:rsid w:val="00774969"/>
    <w:rsid w:val="007A52FB"/>
    <w:rsid w:val="007B0C54"/>
    <w:rsid w:val="007B55C7"/>
    <w:rsid w:val="007F30E9"/>
    <w:rsid w:val="008011C0"/>
    <w:rsid w:val="008224E9"/>
    <w:rsid w:val="008232FF"/>
    <w:rsid w:val="0082489A"/>
    <w:rsid w:val="00845249"/>
    <w:rsid w:val="008660C5"/>
    <w:rsid w:val="00887DB2"/>
    <w:rsid w:val="008D1FB1"/>
    <w:rsid w:val="008E2956"/>
    <w:rsid w:val="00910BF0"/>
    <w:rsid w:val="00917BC7"/>
    <w:rsid w:val="009450B0"/>
    <w:rsid w:val="009577B1"/>
    <w:rsid w:val="009635E5"/>
    <w:rsid w:val="00983557"/>
    <w:rsid w:val="009851B5"/>
    <w:rsid w:val="00991904"/>
    <w:rsid w:val="009974E3"/>
    <w:rsid w:val="00997F9B"/>
    <w:rsid w:val="009B6598"/>
    <w:rsid w:val="009B71C4"/>
    <w:rsid w:val="009E5C25"/>
    <w:rsid w:val="00A04351"/>
    <w:rsid w:val="00A07B79"/>
    <w:rsid w:val="00A21BD6"/>
    <w:rsid w:val="00A4714A"/>
    <w:rsid w:val="00A47846"/>
    <w:rsid w:val="00A47C6A"/>
    <w:rsid w:val="00A617BC"/>
    <w:rsid w:val="00A7420A"/>
    <w:rsid w:val="00A82A56"/>
    <w:rsid w:val="00A84A0D"/>
    <w:rsid w:val="00AE70EA"/>
    <w:rsid w:val="00AE76B3"/>
    <w:rsid w:val="00B14866"/>
    <w:rsid w:val="00B3492C"/>
    <w:rsid w:val="00B56DAF"/>
    <w:rsid w:val="00B72593"/>
    <w:rsid w:val="00B8055F"/>
    <w:rsid w:val="00BA00EF"/>
    <w:rsid w:val="00BB1360"/>
    <w:rsid w:val="00BB7BA9"/>
    <w:rsid w:val="00BD15D9"/>
    <w:rsid w:val="00BE2E01"/>
    <w:rsid w:val="00BE4AEE"/>
    <w:rsid w:val="00BF793C"/>
    <w:rsid w:val="00C07E2D"/>
    <w:rsid w:val="00C233C8"/>
    <w:rsid w:val="00C44601"/>
    <w:rsid w:val="00C7369E"/>
    <w:rsid w:val="00C85475"/>
    <w:rsid w:val="00C91A2C"/>
    <w:rsid w:val="00CA2772"/>
    <w:rsid w:val="00CA5BED"/>
    <w:rsid w:val="00CE7DD7"/>
    <w:rsid w:val="00D02EE3"/>
    <w:rsid w:val="00D07AEF"/>
    <w:rsid w:val="00D1762C"/>
    <w:rsid w:val="00D67B95"/>
    <w:rsid w:val="00D83467"/>
    <w:rsid w:val="00D913BF"/>
    <w:rsid w:val="00DB0177"/>
    <w:rsid w:val="00DD1052"/>
    <w:rsid w:val="00DE58F4"/>
    <w:rsid w:val="00E05BD2"/>
    <w:rsid w:val="00E13226"/>
    <w:rsid w:val="00E5369C"/>
    <w:rsid w:val="00E8020C"/>
    <w:rsid w:val="00EA021C"/>
    <w:rsid w:val="00EA10A3"/>
    <w:rsid w:val="00EC33D4"/>
    <w:rsid w:val="00ED5E22"/>
    <w:rsid w:val="00EE0526"/>
    <w:rsid w:val="00EE5873"/>
    <w:rsid w:val="00F02A9E"/>
    <w:rsid w:val="00F068F7"/>
    <w:rsid w:val="00F1323C"/>
    <w:rsid w:val="00F53354"/>
    <w:rsid w:val="00F55E64"/>
    <w:rsid w:val="00F57584"/>
    <w:rsid w:val="00F6285A"/>
    <w:rsid w:val="00F715DE"/>
    <w:rsid w:val="00FA05EF"/>
    <w:rsid w:val="00FC25F1"/>
    <w:rsid w:val="00FE3722"/>
    <w:rsid w:val="00FE74FD"/>
    <w:rsid w:val="00FF6D59"/>
    <w:rsid w:val="00FF6D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054990"/>
  <w15:chartTrackingRefBased/>
  <w15:docId w15:val="{E638310B-C8F9-4555-81BB-2A464696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4A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4A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402"/>
    <w:pPr>
      <w:ind w:left="720"/>
      <w:contextualSpacing/>
    </w:pPr>
  </w:style>
  <w:style w:type="character" w:styleId="CommentReference">
    <w:name w:val="annotation reference"/>
    <w:basedOn w:val="DefaultParagraphFont"/>
    <w:uiPriority w:val="99"/>
    <w:semiHidden/>
    <w:unhideWhenUsed/>
    <w:rsid w:val="000C24A1"/>
    <w:rPr>
      <w:sz w:val="16"/>
      <w:szCs w:val="16"/>
    </w:rPr>
  </w:style>
  <w:style w:type="paragraph" w:styleId="CommentText">
    <w:name w:val="annotation text"/>
    <w:basedOn w:val="Normal"/>
    <w:link w:val="CommentTextChar"/>
    <w:uiPriority w:val="99"/>
    <w:semiHidden/>
    <w:unhideWhenUsed/>
    <w:rsid w:val="000C24A1"/>
    <w:pPr>
      <w:spacing w:line="240" w:lineRule="auto"/>
    </w:pPr>
    <w:rPr>
      <w:sz w:val="20"/>
      <w:szCs w:val="20"/>
    </w:rPr>
  </w:style>
  <w:style w:type="character" w:customStyle="1" w:styleId="CommentTextChar">
    <w:name w:val="Comment Text Char"/>
    <w:basedOn w:val="DefaultParagraphFont"/>
    <w:link w:val="CommentText"/>
    <w:uiPriority w:val="99"/>
    <w:semiHidden/>
    <w:rsid w:val="000C24A1"/>
    <w:rPr>
      <w:sz w:val="20"/>
      <w:szCs w:val="20"/>
    </w:rPr>
  </w:style>
  <w:style w:type="paragraph" w:styleId="CommentSubject">
    <w:name w:val="annotation subject"/>
    <w:basedOn w:val="CommentText"/>
    <w:next w:val="CommentText"/>
    <w:link w:val="CommentSubjectChar"/>
    <w:uiPriority w:val="99"/>
    <w:semiHidden/>
    <w:unhideWhenUsed/>
    <w:rsid w:val="000C24A1"/>
    <w:rPr>
      <w:b/>
      <w:bCs/>
    </w:rPr>
  </w:style>
  <w:style w:type="character" w:customStyle="1" w:styleId="CommentSubjectChar">
    <w:name w:val="Comment Subject Char"/>
    <w:basedOn w:val="CommentTextChar"/>
    <w:link w:val="CommentSubject"/>
    <w:uiPriority w:val="99"/>
    <w:semiHidden/>
    <w:rsid w:val="000C24A1"/>
    <w:rPr>
      <w:b/>
      <w:bCs/>
      <w:sz w:val="20"/>
      <w:szCs w:val="20"/>
    </w:rPr>
  </w:style>
  <w:style w:type="paragraph" w:styleId="BalloonText">
    <w:name w:val="Balloon Text"/>
    <w:basedOn w:val="Normal"/>
    <w:link w:val="BalloonTextChar"/>
    <w:uiPriority w:val="99"/>
    <w:semiHidden/>
    <w:unhideWhenUsed/>
    <w:rsid w:val="000C2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4A1"/>
    <w:rPr>
      <w:rFonts w:ascii="Segoe UI" w:hAnsi="Segoe UI" w:cs="Segoe UI"/>
      <w:sz w:val="18"/>
      <w:szCs w:val="18"/>
    </w:rPr>
  </w:style>
  <w:style w:type="character" w:customStyle="1" w:styleId="Heading1Char">
    <w:name w:val="Heading 1 Char"/>
    <w:basedOn w:val="DefaultParagraphFont"/>
    <w:link w:val="Heading1"/>
    <w:uiPriority w:val="9"/>
    <w:rsid w:val="00A84A0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84A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4A0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84A0D"/>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0F4DC9"/>
    <w:pPr>
      <w:spacing w:after="0" w:line="240" w:lineRule="auto"/>
    </w:pPr>
  </w:style>
  <w:style w:type="character" w:styleId="Hyperlink">
    <w:name w:val="Hyperlink"/>
    <w:basedOn w:val="DefaultParagraphFont"/>
    <w:uiPriority w:val="99"/>
    <w:unhideWhenUsed/>
    <w:rsid w:val="00592391"/>
    <w:rPr>
      <w:color w:val="0563C1" w:themeColor="hyperlink"/>
      <w:u w:val="single"/>
    </w:rPr>
  </w:style>
  <w:style w:type="character" w:styleId="Strong">
    <w:name w:val="Strong"/>
    <w:basedOn w:val="DefaultParagraphFont"/>
    <w:uiPriority w:val="22"/>
    <w:qFormat/>
    <w:rsid w:val="00592391"/>
    <w:rPr>
      <w:b/>
      <w:bCs/>
    </w:rPr>
  </w:style>
  <w:style w:type="paragraph" w:styleId="FootnoteText">
    <w:name w:val="footnote text"/>
    <w:basedOn w:val="Normal"/>
    <w:link w:val="FootnoteTextChar"/>
    <w:uiPriority w:val="99"/>
    <w:semiHidden/>
    <w:unhideWhenUsed/>
    <w:rsid w:val="00C73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369E"/>
    <w:rPr>
      <w:sz w:val="20"/>
      <w:szCs w:val="20"/>
    </w:rPr>
  </w:style>
  <w:style w:type="character" w:styleId="FootnoteReference">
    <w:name w:val="footnote reference"/>
    <w:basedOn w:val="DefaultParagraphFont"/>
    <w:uiPriority w:val="99"/>
    <w:semiHidden/>
    <w:unhideWhenUsed/>
    <w:rsid w:val="00C736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5312">
      <w:bodyDiv w:val="1"/>
      <w:marLeft w:val="0"/>
      <w:marRight w:val="0"/>
      <w:marTop w:val="0"/>
      <w:marBottom w:val="0"/>
      <w:divBdr>
        <w:top w:val="none" w:sz="0" w:space="0" w:color="auto"/>
        <w:left w:val="none" w:sz="0" w:space="0" w:color="auto"/>
        <w:bottom w:val="none" w:sz="0" w:space="0" w:color="auto"/>
        <w:right w:val="none" w:sz="0" w:space="0" w:color="auto"/>
      </w:divBdr>
      <w:divsChild>
        <w:div w:id="755520871">
          <w:marLeft w:val="0"/>
          <w:marRight w:val="0"/>
          <w:marTop w:val="150"/>
          <w:marBottom w:val="150"/>
          <w:divBdr>
            <w:top w:val="none" w:sz="0" w:space="0" w:color="auto"/>
            <w:left w:val="none" w:sz="0" w:space="0" w:color="auto"/>
            <w:bottom w:val="none" w:sz="0" w:space="0" w:color="auto"/>
            <w:right w:val="none" w:sz="0" w:space="0" w:color="auto"/>
          </w:divBdr>
          <w:divsChild>
            <w:div w:id="1461679877">
              <w:marLeft w:val="0"/>
              <w:marRight w:val="0"/>
              <w:marTop w:val="810"/>
              <w:marBottom w:val="0"/>
              <w:divBdr>
                <w:top w:val="single" w:sz="6" w:space="8" w:color="CCCCCC"/>
                <w:left w:val="single" w:sz="6" w:space="15" w:color="CCCCCC"/>
                <w:bottom w:val="single" w:sz="6" w:space="8" w:color="CCCCCC"/>
                <w:right w:val="single" w:sz="6" w:space="15" w:color="CCCCCC"/>
              </w:divBdr>
            </w:div>
          </w:divsChild>
        </w:div>
      </w:divsChild>
    </w:div>
    <w:div w:id="553853733">
      <w:bodyDiv w:val="1"/>
      <w:marLeft w:val="0"/>
      <w:marRight w:val="0"/>
      <w:marTop w:val="0"/>
      <w:marBottom w:val="0"/>
      <w:divBdr>
        <w:top w:val="none" w:sz="0" w:space="0" w:color="auto"/>
        <w:left w:val="none" w:sz="0" w:space="0" w:color="auto"/>
        <w:bottom w:val="none" w:sz="0" w:space="0" w:color="auto"/>
        <w:right w:val="none" w:sz="0" w:space="0" w:color="auto"/>
      </w:divBdr>
      <w:divsChild>
        <w:div w:id="1505362994">
          <w:marLeft w:val="547"/>
          <w:marRight w:val="0"/>
          <w:marTop w:val="200"/>
          <w:marBottom w:val="0"/>
          <w:divBdr>
            <w:top w:val="none" w:sz="0" w:space="0" w:color="auto"/>
            <w:left w:val="none" w:sz="0" w:space="0" w:color="auto"/>
            <w:bottom w:val="none" w:sz="0" w:space="0" w:color="auto"/>
            <w:right w:val="none" w:sz="0" w:space="0" w:color="auto"/>
          </w:divBdr>
        </w:div>
        <w:div w:id="180096889">
          <w:marLeft w:val="547"/>
          <w:marRight w:val="0"/>
          <w:marTop w:val="200"/>
          <w:marBottom w:val="0"/>
          <w:divBdr>
            <w:top w:val="none" w:sz="0" w:space="0" w:color="auto"/>
            <w:left w:val="none" w:sz="0" w:space="0" w:color="auto"/>
            <w:bottom w:val="none" w:sz="0" w:space="0" w:color="auto"/>
            <w:right w:val="none" w:sz="0" w:space="0" w:color="auto"/>
          </w:divBdr>
        </w:div>
        <w:div w:id="1838494418">
          <w:marLeft w:val="547"/>
          <w:marRight w:val="0"/>
          <w:marTop w:val="200"/>
          <w:marBottom w:val="0"/>
          <w:divBdr>
            <w:top w:val="none" w:sz="0" w:space="0" w:color="auto"/>
            <w:left w:val="none" w:sz="0" w:space="0" w:color="auto"/>
            <w:bottom w:val="none" w:sz="0" w:space="0" w:color="auto"/>
            <w:right w:val="none" w:sz="0" w:space="0" w:color="auto"/>
          </w:divBdr>
        </w:div>
        <w:div w:id="1313488174">
          <w:marLeft w:val="547"/>
          <w:marRight w:val="0"/>
          <w:marTop w:val="200"/>
          <w:marBottom w:val="0"/>
          <w:divBdr>
            <w:top w:val="none" w:sz="0" w:space="0" w:color="auto"/>
            <w:left w:val="none" w:sz="0" w:space="0" w:color="auto"/>
            <w:bottom w:val="none" w:sz="0" w:space="0" w:color="auto"/>
            <w:right w:val="none" w:sz="0" w:space="0" w:color="auto"/>
          </w:divBdr>
        </w:div>
        <w:div w:id="2077051625">
          <w:marLeft w:val="1166"/>
          <w:marRight w:val="0"/>
          <w:marTop w:val="200"/>
          <w:marBottom w:val="0"/>
          <w:divBdr>
            <w:top w:val="none" w:sz="0" w:space="0" w:color="auto"/>
            <w:left w:val="none" w:sz="0" w:space="0" w:color="auto"/>
            <w:bottom w:val="none" w:sz="0" w:space="0" w:color="auto"/>
            <w:right w:val="none" w:sz="0" w:space="0" w:color="auto"/>
          </w:divBdr>
        </w:div>
        <w:div w:id="485246155">
          <w:marLeft w:val="1166"/>
          <w:marRight w:val="0"/>
          <w:marTop w:val="200"/>
          <w:marBottom w:val="0"/>
          <w:divBdr>
            <w:top w:val="none" w:sz="0" w:space="0" w:color="auto"/>
            <w:left w:val="none" w:sz="0" w:space="0" w:color="auto"/>
            <w:bottom w:val="none" w:sz="0" w:space="0" w:color="auto"/>
            <w:right w:val="none" w:sz="0" w:space="0" w:color="auto"/>
          </w:divBdr>
        </w:div>
        <w:div w:id="1435515047">
          <w:marLeft w:val="547"/>
          <w:marRight w:val="0"/>
          <w:marTop w:val="200"/>
          <w:marBottom w:val="0"/>
          <w:divBdr>
            <w:top w:val="none" w:sz="0" w:space="0" w:color="auto"/>
            <w:left w:val="none" w:sz="0" w:space="0" w:color="auto"/>
            <w:bottom w:val="none" w:sz="0" w:space="0" w:color="auto"/>
            <w:right w:val="none" w:sz="0" w:space="0" w:color="auto"/>
          </w:divBdr>
        </w:div>
        <w:div w:id="157550760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iproweb.org/fileadmin/cdroms/Handicap_Developpement/www/en_page6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611C4-F600-4663-BA27-049B33D5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3543</Words>
  <Characters>20198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23694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Hodson</dc:creator>
  <cp:keywords/>
  <dc:description/>
  <cp:lastModifiedBy>Lucy Hodson</cp:lastModifiedBy>
  <cp:revision>2</cp:revision>
  <dcterms:created xsi:type="dcterms:W3CDTF">2018-05-30T22:59:00Z</dcterms:created>
  <dcterms:modified xsi:type="dcterms:W3CDTF">2018-05-30T22:59:00Z</dcterms:modified>
</cp:coreProperties>
</file>