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F6E30" w14:textId="77777777" w:rsidR="002E7D60" w:rsidRPr="00625B22" w:rsidRDefault="002E7D60" w:rsidP="002E7D60">
      <w:pPr>
        <w:jc w:val="center"/>
        <w:rPr>
          <w:b/>
          <w:sz w:val="24"/>
          <w:szCs w:val="24"/>
        </w:rPr>
      </w:pPr>
      <w:r w:rsidRPr="00625B22">
        <w:rPr>
          <w:b/>
          <w:noProof/>
          <w:sz w:val="24"/>
          <w:szCs w:val="24"/>
          <w:lang w:eastAsia="en-AU"/>
        </w:rPr>
        <w:drawing>
          <wp:anchor distT="0" distB="0" distL="114300" distR="114300" simplePos="0" relativeHeight="251659264" behindDoc="0" locked="0" layoutInCell="1" allowOverlap="1" wp14:anchorId="2A5FCFD2" wp14:editId="38B4795D">
            <wp:simplePos x="0" y="0"/>
            <wp:positionH relativeFrom="column">
              <wp:posOffset>2059305</wp:posOffset>
            </wp:positionH>
            <wp:positionV relativeFrom="paragraph">
              <wp:posOffset>-302149</wp:posOffset>
            </wp:positionV>
            <wp:extent cx="1605915" cy="721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5915" cy="721360"/>
                    </a:xfrm>
                    <a:prstGeom prst="rect">
                      <a:avLst/>
                    </a:prstGeom>
                  </pic:spPr>
                </pic:pic>
              </a:graphicData>
            </a:graphic>
            <wp14:sizeRelH relativeFrom="page">
              <wp14:pctWidth>0</wp14:pctWidth>
            </wp14:sizeRelH>
            <wp14:sizeRelV relativeFrom="page">
              <wp14:pctHeight>0</wp14:pctHeight>
            </wp14:sizeRelV>
          </wp:anchor>
        </w:drawing>
      </w:r>
    </w:p>
    <w:p w14:paraId="57C9D9FD" w14:textId="77777777" w:rsidR="008900B3" w:rsidRPr="00625B22" w:rsidRDefault="008900B3" w:rsidP="002E7D60">
      <w:pPr>
        <w:jc w:val="center"/>
        <w:rPr>
          <w:b/>
          <w:sz w:val="24"/>
          <w:szCs w:val="24"/>
        </w:rPr>
      </w:pPr>
    </w:p>
    <w:p w14:paraId="523BD6B7" w14:textId="6DCF9B4E" w:rsidR="00E05BD2" w:rsidRPr="00625B22" w:rsidRDefault="00053E54" w:rsidP="005B6641">
      <w:pPr>
        <w:pStyle w:val="Title"/>
        <w:rPr>
          <w:sz w:val="24"/>
          <w:szCs w:val="24"/>
        </w:rPr>
      </w:pPr>
      <w:r w:rsidRPr="00625B22">
        <w:rPr>
          <w:sz w:val="24"/>
          <w:szCs w:val="24"/>
        </w:rPr>
        <w:t>Organisational Inclusion</w:t>
      </w:r>
      <w:r w:rsidR="002E7D60" w:rsidRPr="00625B22">
        <w:rPr>
          <w:sz w:val="24"/>
          <w:szCs w:val="24"/>
        </w:rPr>
        <w:t xml:space="preserve"> Resources</w:t>
      </w:r>
    </w:p>
    <w:p w14:paraId="3D89420E" w14:textId="77777777" w:rsidR="00053E54" w:rsidRPr="00625B22" w:rsidRDefault="00053E54" w:rsidP="00053E54">
      <w:pPr>
        <w:rPr>
          <w:sz w:val="24"/>
          <w:szCs w:val="24"/>
        </w:rPr>
      </w:pPr>
      <w:r w:rsidRPr="00625B22">
        <w:rPr>
          <w:sz w:val="24"/>
          <w:szCs w:val="24"/>
        </w:rPr>
        <w:t xml:space="preserve">There are a wealth of resources and tools available to guide organisations in how to build disability and inclusion more broadly across their organisation in Australia. </w:t>
      </w:r>
    </w:p>
    <w:p w14:paraId="55B7E834" w14:textId="77777777" w:rsidR="00053E54" w:rsidRPr="00625B22" w:rsidRDefault="00053E54" w:rsidP="00053E54">
      <w:pPr>
        <w:rPr>
          <w:sz w:val="24"/>
          <w:szCs w:val="24"/>
        </w:rPr>
      </w:pPr>
      <w:r w:rsidRPr="00625B22">
        <w:rPr>
          <w:sz w:val="24"/>
          <w:szCs w:val="24"/>
        </w:rPr>
        <w:t>Here are some key links to create barrier-free and more inclusive workplaces:</w:t>
      </w:r>
    </w:p>
    <w:p w14:paraId="0B53F9EC" w14:textId="77777777" w:rsidR="00053E54" w:rsidRPr="00625B22" w:rsidRDefault="00053E54" w:rsidP="00EE3278">
      <w:pPr>
        <w:pStyle w:val="Heading1"/>
      </w:pPr>
      <w:r w:rsidRPr="00625B22">
        <w:t xml:space="preserve">General resources </w:t>
      </w:r>
    </w:p>
    <w:p w14:paraId="05D8C56B" w14:textId="350472E3" w:rsidR="00EE3278" w:rsidRPr="00625B22" w:rsidRDefault="00EE3278" w:rsidP="00625B22">
      <w:pPr>
        <w:pStyle w:val="Heading2"/>
      </w:pPr>
      <w:r w:rsidRPr="00625B22">
        <w:t xml:space="preserve">How to create an </w:t>
      </w:r>
      <w:r w:rsidRPr="00625B22">
        <w:t>inclusive</w:t>
      </w:r>
      <w:r w:rsidRPr="00625B22">
        <w:t xml:space="preserve"> and </w:t>
      </w:r>
      <w:r w:rsidRPr="00625B22">
        <w:t>respectful</w:t>
      </w:r>
      <w:r w:rsidRPr="00625B22">
        <w:t xml:space="preserve"> workplace for people with disability</w:t>
      </w:r>
      <w:r w:rsidRPr="00625B22">
        <w:t>:</w:t>
      </w:r>
    </w:p>
    <w:p w14:paraId="5141C198" w14:textId="6428679F" w:rsidR="00EE3278" w:rsidRPr="00625B22" w:rsidRDefault="00EE3278" w:rsidP="002E2214">
      <w:pPr>
        <w:rPr>
          <w:sz w:val="24"/>
          <w:szCs w:val="24"/>
        </w:rPr>
      </w:pPr>
      <w:r w:rsidRPr="00625B22">
        <w:rPr>
          <w:sz w:val="24"/>
          <w:szCs w:val="24"/>
        </w:rPr>
        <w:t xml:space="preserve">This Disability Employment </w:t>
      </w:r>
      <w:hyperlink r:id="rId9" w:history="1">
        <w:r w:rsidRPr="00625B22">
          <w:rPr>
            <w:rStyle w:val="Hyperlink"/>
            <w:sz w:val="24"/>
            <w:szCs w:val="24"/>
          </w:rPr>
          <w:t>Toolkit</w:t>
        </w:r>
      </w:hyperlink>
      <w:r w:rsidRPr="00625B22">
        <w:rPr>
          <w:sz w:val="24"/>
          <w:szCs w:val="24"/>
        </w:rPr>
        <w:t xml:space="preserve"> for Workplace Accessibility by the Victorian Public Service Commission is a practical guide on how to create an inclusive and respectful workplace for people with disability.</w:t>
      </w:r>
    </w:p>
    <w:p w14:paraId="185A533E" w14:textId="54BE10F4" w:rsidR="00EE3278" w:rsidRPr="00625B22" w:rsidRDefault="00EE3278" w:rsidP="00625B22">
      <w:pPr>
        <w:pStyle w:val="Heading2"/>
      </w:pPr>
      <w:r w:rsidRPr="00625B22">
        <w:t>How to be disability inclusive</w:t>
      </w:r>
      <w:r w:rsidRPr="00625B22">
        <w:t>:</w:t>
      </w:r>
      <w:r w:rsidRPr="00625B22">
        <w:t xml:space="preserve">  </w:t>
      </w:r>
    </w:p>
    <w:p w14:paraId="75570FF9" w14:textId="1BCDFE63" w:rsidR="00EE3278" w:rsidRPr="00625B22" w:rsidRDefault="00EE3278" w:rsidP="002E2214">
      <w:pPr>
        <w:rPr>
          <w:sz w:val="24"/>
          <w:szCs w:val="24"/>
        </w:rPr>
      </w:pPr>
      <w:r w:rsidRPr="00625B22">
        <w:rPr>
          <w:sz w:val="24"/>
          <w:szCs w:val="24"/>
        </w:rPr>
        <w:t xml:space="preserve">This </w:t>
      </w:r>
      <w:hyperlink r:id="rId10" w:history="1">
        <w:r w:rsidRPr="00625B22">
          <w:rPr>
            <w:rStyle w:val="Hyperlink"/>
            <w:sz w:val="24"/>
            <w:szCs w:val="24"/>
          </w:rPr>
          <w:t>guide</w:t>
        </w:r>
      </w:hyperlink>
      <w:r w:rsidRPr="00625B22">
        <w:rPr>
          <w:sz w:val="24"/>
          <w:szCs w:val="24"/>
        </w:rPr>
        <w:t xml:space="preserve"> by the Disability Advocacy Resource Unit provides tips on disability etiquette, what to say or write when referring to or communicating with persons with disabilities.</w:t>
      </w:r>
    </w:p>
    <w:p w14:paraId="280CBF04" w14:textId="3AE078FD" w:rsidR="00EE3278" w:rsidRPr="00625B22" w:rsidRDefault="00EE3278" w:rsidP="00625B22">
      <w:pPr>
        <w:pStyle w:val="Heading2"/>
      </w:pPr>
      <w:r w:rsidRPr="00625B22">
        <w:t>How to advance the inclusion of people with disability in all aspects of business</w:t>
      </w:r>
      <w:r w:rsidRPr="00625B22">
        <w:t>:</w:t>
      </w:r>
    </w:p>
    <w:p w14:paraId="475A2C37" w14:textId="75975524" w:rsidR="00EE3278" w:rsidRPr="00625B22" w:rsidRDefault="00EE3278" w:rsidP="002E2214">
      <w:pPr>
        <w:rPr>
          <w:sz w:val="24"/>
          <w:szCs w:val="24"/>
        </w:rPr>
      </w:pPr>
      <w:r w:rsidRPr="00625B22">
        <w:rPr>
          <w:sz w:val="24"/>
          <w:szCs w:val="24"/>
        </w:rPr>
        <w:t xml:space="preserve">This </w:t>
      </w:r>
      <w:hyperlink r:id="rId11" w:history="1">
        <w:r w:rsidRPr="00625B22">
          <w:rPr>
            <w:rStyle w:val="Hyperlink"/>
            <w:sz w:val="24"/>
            <w:szCs w:val="24"/>
          </w:rPr>
          <w:t>website</w:t>
        </w:r>
      </w:hyperlink>
      <w:r w:rsidRPr="00625B22">
        <w:rPr>
          <w:sz w:val="24"/>
          <w:szCs w:val="24"/>
        </w:rPr>
        <w:t xml:space="preserve"> (Australia Disability Network) is an employer-driven organisation with the specific purpose of advancing the equitable inclusion of people with disability. </w:t>
      </w:r>
    </w:p>
    <w:p w14:paraId="3497D7A2" w14:textId="163CF06E" w:rsidR="00EE3278" w:rsidRPr="00625B22" w:rsidRDefault="00EE3278" w:rsidP="00625B22">
      <w:pPr>
        <w:pStyle w:val="Heading2"/>
      </w:pPr>
      <w:r w:rsidRPr="00625B22">
        <w:t>How to tackle employment barriers to disability inclusion</w:t>
      </w:r>
      <w:r w:rsidRPr="00625B22">
        <w:t>:</w:t>
      </w:r>
      <w:r w:rsidRPr="00625B22">
        <w:t xml:space="preserve"> </w:t>
      </w:r>
    </w:p>
    <w:p w14:paraId="46292010" w14:textId="72272A09" w:rsidR="00EE3278" w:rsidRPr="00625B22" w:rsidRDefault="00EE3278" w:rsidP="002E2214">
      <w:pPr>
        <w:rPr>
          <w:sz w:val="24"/>
          <w:szCs w:val="24"/>
        </w:rPr>
      </w:pPr>
      <w:r w:rsidRPr="00625B22">
        <w:rPr>
          <w:sz w:val="24"/>
          <w:szCs w:val="24"/>
        </w:rPr>
        <w:t xml:space="preserve">This </w:t>
      </w:r>
      <w:hyperlink r:id="rId12" w:history="1">
        <w:r w:rsidRPr="00625B22">
          <w:rPr>
            <w:rStyle w:val="Hyperlink"/>
            <w:sz w:val="24"/>
            <w:szCs w:val="24"/>
          </w:rPr>
          <w:t>plan</w:t>
        </w:r>
      </w:hyperlink>
      <w:r w:rsidRPr="00625B22">
        <w:rPr>
          <w:sz w:val="24"/>
          <w:szCs w:val="24"/>
        </w:rPr>
        <w:t xml:space="preserve"> (Getting to Work: Victorian Public Sector Disability Action Plan) is designed to tackle employment barriers such as attitudes and behaviour, job design, inaccessible work environments and lack of ongoing workplace development and support. </w:t>
      </w:r>
    </w:p>
    <w:p w14:paraId="04F6E6B9" w14:textId="7ED03886" w:rsidR="00EE3278" w:rsidRPr="00625B22" w:rsidRDefault="00EE3278" w:rsidP="002E2214">
      <w:pPr>
        <w:rPr>
          <w:sz w:val="24"/>
          <w:szCs w:val="24"/>
        </w:rPr>
      </w:pPr>
      <w:r w:rsidRPr="00625B22">
        <w:rPr>
          <w:sz w:val="24"/>
          <w:szCs w:val="24"/>
        </w:rPr>
        <w:t>It provides practical strategies, based on local and international best practice.</w:t>
      </w:r>
    </w:p>
    <w:p w14:paraId="0EFE0B9F" w14:textId="46C8E2F4" w:rsidR="00EE3278" w:rsidRPr="00625B22" w:rsidRDefault="00EE3278" w:rsidP="00625B22">
      <w:pPr>
        <w:pStyle w:val="Heading2"/>
      </w:pPr>
      <w:r w:rsidRPr="00625B22">
        <w:t>How jobseekers with a disability can access programs &amp; connect with employers</w:t>
      </w:r>
      <w:r w:rsidRPr="00625B22">
        <w:t>:</w:t>
      </w:r>
    </w:p>
    <w:p w14:paraId="6B0C0E90" w14:textId="53A14600" w:rsidR="00EE3278" w:rsidRPr="00625B22" w:rsidRDefault="00EE3278" w:rsidP="002E2214">
      <w:pPr>
        <w:rPr>
          <w:sz w:val="24"/>
          <w:szCs w:val="24"/>
        </w:rPr>
      </w:pPr>
      <w:r w:rsidRPr="00625B22">
        <w:rPr>
          <w:sz w:val="24"/>
          <w:szCs w:val="24"/>
        </w:rPr>
        <w:t xml:space="preserve">This </w:t>
      </w:r>
      <w:hyperlink r:id="rId13" w:history="1">
        <w:r w:rsidRPr="00625B22">
          <w:rPr>
            <w:rStyle w:val="Hyperlink"/>
            <w:sz w:val="24"/>
            <w:szCs w:val="24"/>
          </w:rPr>
          <w:t>website</w:t>
        </w:r>
      </w:hyperlink>
      <w:r w:rsidRPr="00625B22">
        <w:rPr>
          <w:sz w:val="24"/>
          <w:szCs w:val="24"/>
        </w:rPr>
        <w:t xml:space="preserve"> (Jobs Victoria) delivers programs for people looking for work and for employers looking for workers.</w:t>
      </w:r>
    </w:p>
    <w:p w14:paraId="4897A6D8" w14:textId="6D074A4F" w:rsidR="00EE3278" w:rsidRPr="00625B22" w:rsidRDefault="00EE3278" w:rsidP="00625B22">
      <w:pPr>
        <w:pStyle w:val="Heading2"/>
        <w:rPr>
          <w:highlight w:val="yellow"/>
        </w:rPr>
      </w:pPr>
      <w:r w:rsidRPr="00625B22">
        <w:t>How to increase web and digital accessibility</w:t>
      </w:r>
      <w:r w:rsidRPr="00625B22">
        <w:t>:</w:t>
      </w:r>
      <w:r w:rsidRPr="00625B22">
        <w:t xml:space="preserve"> </w:t>
      </w:r>
    </w:p>
    <w:p w14:paraId="7ED45D9C" w14:textId="54125626" w:rsidR="00EE3278" w:rsidRPr="00625B22" w:rsidRDefault="00EE3278" w:rsidP="002E2214">
      <w:pPr>
        <w:rPr>
          <w:sz w:val="24"/>
          <w:szCs w:val="24"/>
        </w:rPr>
      </w:pPr>
      <w:r w:rsidRPr="00625B22">
        <w:rPr>
          <w:sz w:val="24"/>
          <w:szCs w:val="24"/>
        </w:rPr>
        <w:t xml:space="preserve">This </w:t>
      </w:r>
      <w:hyperlink r:id="rId14" w:history="1">
        <w:r w:rsidRPr="00625B22">
          <w:rPr>
            <w:rStyle w:val="Hyperlink"/>
            <w:sz w:val="24"/>
            <w:szCs w:val="24"/>
          </w:rPr>
          <w:t>website</w:t>
        </w:r>
      </w:hyperlink>
      <w:r w:rsidRPr="00625B22">
        <w:rPr>
          <w:sz w:val="24"/>
          <w:szCs w:val="24"/>
        </w:rPr>
        <w:t xml:space="preserve"> (Media Access Australia) is an independent not-for-profit organisation dedicated to increasing web and digital accessibility for people with disability by providing information and specialist expertise.</w:t>
      </w:r>
    </w:p>
    <w:p w14:paraId="5A9FF869" w14:textId="77777777" w:rsidR="00EE3278" w:rsidRPr="00625B22" w:rsidRDefault="00EE3278" w:rsidP="00625B22">
      <w:pPr>
        <w:pStyle w:val="Heading2"/>
      </w:pPr>
      <w:r w:rsidRPr="00625B22">
        <w:t>How to create mentally healthy workplaces</w:t>
      </w:r>
      <w:r w:rsidRPr="00625B22">
        <w:t>:</w:t>
      </w:r>
    </w:p>
    <w:p w14:paraId="6AF4552E" w14:textId="7E361944" w:rsidR="00EE3278" w:rsidRPr="00625B22" w:rsidRDefault="00EE3278" w:rsidP="002E2214">
      <w:pPr>
        <w:rPr>
          <w:sz w:val="24"/>
          <w:szCs w:val="24"/>
        </w:rPr>
      </w:pPr>
      <w:r w:rsidRPr="00625B22">
        <w:rPr>
          <w:sz w:val="24"/>
          <w:szCs w:val="24"/>
        </w:rPr>
        <w:t xml:space="preserve">This </w:t>
      </w:r>
      <w:hyperlink r:id="rId15" w:history="1">
        <w:r w:rsidRPr="00625B22">
          <w:rPr>
            <w:rStyle w:val="Hyperlink"/>
            <w:sz w:val="24"/>
            <w:szCs w:val="24"/>
          </w:rPr>
          <w:t>campaign</w:t>
        </w:r>
      </w:hyperlink>
      <w:r w:rsidRPr="00625B22">
        <w:rPr>
          <w:sz w:val="24"/>
          <w:szCs w:val="24"/>
        </w:rPr>
        <w:t xml:space="preserve"> (Heads Up campaign: Mentally Healthy Workplace Alliance) is a national approach by business, community and government to encourage Australian workplaces to become mentally healthy. </w:t>
      </w:r>
    </w:p>
    <w:p w14:paraId="3A74B7AD" w14:textId="7C743604" w:rsidR="00EE3278" w:rsidRPr="00625B22" w:rsidRDefault="00EE3278" w:rsidP="00625B22">
      <w:pPr>
        <w:pStyle w:val="Heading2"/>
      </w:pPr>
      <w:r w:rsidRPr="00625B22">
        <w:t>How to access support to make a workplace more accessible and mentally healthy</w:t>
      </w:r>
      <w:r w:rsidRPr="00625B22">
        <w:t>:</w:t>
      </w:r>
    </w:p>
    <w:p w14:paraId="54F7FC3E" w14:textId="4286E728" w:rsidR="00EE3278" w:rsidRPr="00625B22" w:rsidRDefault="00EE3278" w:rsidP="002E2214">
      <w:pPr>
        <w:rPr>
          <w:sz w:val="24"/>
          <w:szCs w:val="24"/>
        </w:rPr>
      </w:pPr>
      <w:r w:rsidRPr="00625B22">
        <w:rPr>
          <w:sz w:val="24"/>
          <w:szCs w:val="24"/>
        </w:rPr>
        <w:t xml:space="preserve">This </w:t>
      </w:r>
      <w:hyperlink r:id="rId16" w:history="1">
        <w:r w:rsidRPr="00625B22">
          <w:rPr>
            <w:rStyle w:val="Hyperlink"/>
            <w:sz w:val="24"/>
            <w:szCs w:val="24"/>
          </w:rPr>
          <w:t>website</w:t>
        </w:r>
      </w:hyperlink>
      <w:r w:rsidRPr="00625B22">
        <w:rPr>
          <w:sz w:val="24"/>
          <w:szCs w:val="24"/>
        </w:rPr>
        <w:t xml:space="preserve"> (</w:t>
      </w:r>
      <w:proofErr w:type="spellStart"/>
      <w:r w:rsidRPr="00625B22">
        <w:rPr>
          <w:sz w:val="24"/>
          <w:szCs w:val="24"/>
        </w:rPr>
        <w:t>JobAccess</w:t>
      </w:r>
      <w:proofErr w:type="spellEnd"/>
      <w:r w:rsidRPr="00625B22">
        <w:rPr>
          <w:sz w:val="24"/>
          <w:szCs w:val="24"/>
        </w:rPr>
        <w:t xml:space="preserve">) is a hub for advice and support on workplace adjustments and employment for people with disability. </w:t>
      </w:r>
    </w:p>
    <w:p w14:paraId="0F7780D5" w14:textId="68C218F8" w:rsidR="00EE3278" w:rsidRPr="00625B22" w:rsidRDefault="00EE3278" w:rsidP="002E2214">
      <w:pPr>
        <w:rPr>
          <w:sz w:val="24"/>
          <w:szCs w:val="24"/>
        </w:rPr>
      </w:pPr>
      <w:r w:rsidRPr="00625B22">
        <w:rPr>
          <w:sz w:val="24"/>
          <w:szCs w:val="24"/>
        </w:rPr>
        <w:t>It also offers expert advice on managing mental health in the workplace and can connect employers and people with disability to their local Disability Employment Service (DES).</w:t>
      </w:r>
    </w:p>
    <w:p w14:paraId="7B9A21A7" w14:textId="278C50E0" w:rsidR="00EE3278" w:rsidRPr="00625B22" w:rsidRDefault="00EE3278" w:rsidP="00625B22">
      <w:pPr>
        <w:pStyle w:val="Heading2"/>
      </w:pPr>
      <w:r w:rsidRPr="00625B22">
        <w:t>How to access financial help for suitable equipment and workplace adjustments</w:t>
      </w:r>
      <w:r w:rsidRPr="00625B22">
        <w:t>:</w:t>
      </w:r>
    </w:p>
    <w:p w14:paraId="12EFCC01" w14:textId="4E9E4B79" w:rsidR="00EE3278" w:rsidRPr="00625B22" w:rsidRDefault="00EE3278" w:rsidP="002E2214">
      <w:pPr>
        <w:rPr>
          <w:sz w:val="24"/>
          <w:szCs w:val="24"/>
        </w:rPr>
      </w:pPr>
      <w:r w:rsidRPr="00625B22">
        <w:rPr>
          <w:sz w:val="24"/>
          <w:szCs w:val="24"/>
        </w:rPr>
        <w:t xml:space="preserve">This </w:t>
      </w:r>
      <w:hyperlink r:id="rId17" w:history="1">
        <w:r w:rsidRPr="00625B22">
          <w:rPr>
            <w:rStyle w:val="Hyperlink"/>
            <w:sz w:val="24"/>
            <w:szCs w:val="24"/>
          </w:rPr>
          <w:t>fund</w:t>
        </w:r>
      </w:hyperlink>
      <w:r w:rsidRPr="00625B22">
        <w:rPr>
          <w:sz w:val="24"/>
          <w:szCs w:val="24"/>
        </w:rPr>
        <w:t xml:space="preserve"> (Employment Assistance Fund) helps employers and people with disability achieve accessible workplaces through financial help for suitable equipment and workplace adjustments.</w:t>
      </w:r>
    </w:p>
    <w:p w14:paraId="1471EB47" w14:textId="29C2303C" w:rsidR="00EE3278" w:rsidRPr="00625B22" w:rsidRDefault="00EE3278" w:rsidP="00625B22">
      <w:pPr>
        <w:pStyle w:val="Heading2"/>
      </w:pPr>
      <w:r w:rsidRPr="00625B22">
        <w:t>How to make videos that include people with disabilities</w:t>
      </w:r>
      <w:r w:rsidRPr="00625B22">
        <w:t>:</w:t>
      </w:r>
    </w:p>
    <w:p w14:paraId="676EFB19" w14:textId="22290077" w:rsidR="00EE3278" w:rsidRPr="00625B22" w:rsidRDefault="00EE3278" w:rsidP="002E2214">
      <w:pPr>
        <w:rPr>
          <w:sz w:val="24"/>
          <w:szCs w:val="24"/>
        </w:rPr>
      </w:pPr>
      <w:r w:rsidRPr="00625B22">
        <w:rPr>
          <w:sz w:val="24"/>
          <w:szCs w:val="24"/>
        </w:rPr>
        <w:t xml:space="preserve">This </w:t>
      </w:r>
      <w:hyperlink r:id="rId18" w:history="1">
        <w:r w:rsidRPr="00625B22">
          <w:rPr>
            <w:rStyle w:val="Hyperlink"/>
            <w:sz w:val="24"/>
            <w:szCs w:val="24"/>
          </w:rPr>
          <w:t>toolkit</w:t>
        </w:r>
      </w:hyperlink>
      <w:r w:rsidRPr="00625B22">
        <w:rPr>
          <w:sz w:val="24"/>
          <w:szCs w:val="24"/>
        </w:rPr>
        <w:t xml:space="preserve"> from End the Cycle sets out their methodology based on a rights and strengths-based approach to amplifying the voices of people with disabilities in developing countries. </w:t>
      </w:r>
    </w:p>
    <w:p w14:paraId="27A3D436" w14:textId="77777777" w:rsidR="00EE3278" w:rsidRPr="00625B22" w:rsidRDefault="00EE3278" w:rsidP="002E2214">
      <w:pPr>
        <w:rPr>
          <w:sz w:val="24"/>
          <w:szCs w:val="24"/>
        </w:rPr>
      </w:pPr>
      <w:r w:rsidRPr="00625B22">
        <w:rPr>
          <w:sz w:val="24"/>
          <w:szCs w:val="24"/>
        </w:rPr>
        <w:t xml:space="preserve">It shows how to broadly apply human rights principles to the different phases of making a video. </w:t>
      </w:r>
    </w:p>
    <w:p w14:paraId="2E0D895C" w14:textId="1A0394FF" w:rsidR="00053E54" w:rsidRPr="00625B22" w:rsidRDefault="00053E54" w:rsidP="00053E54">
      <w:pPr>
        <w:rPr>
          <w:sz w:val="24"/>
          <w:szCs w:val="24"/>
        </w:rPr>
      </w:pPr>
    </w:p>
    <w:p w14:paraId="585B5D52" w14:textId="77777777" w:rsidR="00053E54" w:rsidRPr="00625B22" w:rsidRDefault="00053E54" w:rsidP="00625B22">
      <w:pPr>
        <w:pStyle w:val="Heading1"/>
      </w:pPr>
      <w:r w:rsidRPr="00625B22">
        <w:t>Organisational Assessment Tool</w:t>
      </w:r>
    </w:p>
    <w:p w14:paraId="4417F6E5" w14:textId="1677C438" w:rsidR="00053E54" w:rsidRPr="00625B22" w:rsidRDefault="00053E54" w:rsidP="00053E54">
      <w:pPr>
        <w:rPr>
          <w:sz w:val="24"/>
          <w:szCs w:val="24"/>
        </w:rPr>
      </w:pPr>
      <w:r w:rsidRPr="00625B22">
        <w:rPr>
          <w:sz w:val="24"/>
          <w:szCs w:val="24"/>
        </w:rPr>
        <w:t xml:space="preserve">This </w:t>
      </w:r>
      <w:hyperlink r:id="rId19" w:history="1">
        <w:r w:rsidRPr="00625B22">
          <w:rPr>
            <w:rStyle w:val="Hyperlink"/>
            <w:sz w:val="24"/>
            <w:szCs w:val="24"/>
          </w:rPr>
          <w:t>tool</w:t>
        </w:r>
      </w:hyperlink>
      <w:r w:rsidRPr="00625B22">
        <w:rPr>
          <w:sz w:val="24"/>
          <w:szCs w:val="24"/>
        </w:rPr>
        <w:t xml:space="preserve"> was developed by CBM Australia with ANCP Partner Organisations to support development organisations to capture a ‘snap shot’ of how they are engaging with disability inclusion, to assess what areas need further work, and to assist action planning. If used periodically, it can assist in tracking progress over time.</w:t>
      </w:r>
    </w:p>
    <w:p w14:paraId="0BAF5A0F" w14:textId="77777777" w:rsidR="00EE3278" w:rsidRPr="00625B22" w:rsidRDefault="00EE3278" w:rsidP="00053E54">
      <w:pPr>
        <w:rPr>
          <w:sz w:val="24"/>
          <w:szCs w:val="24"/>
        </w:rPr>
      </w:pPr>
    </w:p>
    <w:p w14:paraId="66677C71" w14:textId="77777777" w:rsidR="00053E54" w:rsidRPr="00625B22" w:rsidRDefault="00053E54" w:rsidP="00625B22">
      <w:pPr>
        <w:pStyle w:val="Heading1"/>
      </w:pPr>
      <w:r w:rsidRPr="00625B22">
        <w:t>Practitioner Interest Forum – April 2019</w:t>
      </w:r>
    </w:p>
    <w:p w14:paraId="2B1DDF4E" w14:textId="44DAFB0E" w:rsidR="00053E54" w:rsidRPr="00625B22" w:rsidRDefault="00053E54" w:rsidP="00053E54">
      <w:pPr>
        <w:rPr>
          <w:sz w:val="24"/>
          <w:szCs w:val="24"/>
        </w:rPr>
      </w:pPr>
      <w:r w:rsidRPr="00625B22">
        <w:rPr>
          <w:sz w:val="24"/>
          <w:szCs w:val="24"/>
        </w:rPr>
        <w:t xml:space="preserve">ADDC hosted a Practitioner Interest Forum on ‘Building Organisational Inclusion’ in April 2019.  The agenda from the Forum is </w:t>
      </w:r>
      <w:hyperlink r:id="rId20" w:history="1">
        <w:r w:rsidRPr="00625B22">
          <w:rPr>
            <w:rStyle w:val="Hyperlink"/>
            <w:sz w:val="24"/>
            <w:szCs w:val="24"/>
          </w:rPr>
          <w:t>available for participants</w:t>
        </w:r>
      </w:hyperlink>
      <w:r w:rsidRPr="00625B22">
        <w:rPr>
          <w:sz w:val="24"/>
          <w:szCs w:val="24"/>
        </w:rPr>
        <w:t xml:space="preserve">. </w:t>
      </w:r>
    </w:p>
    <w:p w14:paraId="340C8E86" w14:textId="77777777" w:rsidR="00053E54" w:rsidRPr="00625B22" w:rsidRDefault="00053E54" w:rsidP="00053E54">
      <w:pPr>
        <w:rPr>
          <w:sz w:val="24"/>
          <w:szCs w:val="24"/>
        </w:rPr>
      </w:pPr>
      <w:r w:rsidRPr="00625B22">
        <w:rPr>
          <w:sz w:val="24"/>
          <w:szCs w:val="24"/>
        </w:rPr>
        <w:t>The PowerPoint presentations from the Forum are available below:</w:t>
      </w:r>
    </w:p>
    <w:p w14:paraId="3DFF96DB" w14:textId="7A1B75CD" w:rsidR="00663D03" w:rsidRPr="00663D03" w:rsidRDefault="00663D03" w:rsidP="00663D03">
      <w:pPr>
        <w:pStyle w:val="ListParagraph"/>
        <w:numPr>
          <w:ilvl w:val="0"/>
          <w:numId w:val="8"/>
        </w:numPr>
        <w:rPr>
          <w:sz w:val="24"/>
          <w:szCs w:val="24"/>
        </w:rPr>
      </w:pPr>
      <w:r w:rsidRPr="00663D03">
        <w:rPr>
          <w:sz w:val="24"/>
          <w:szCs w:val="24"/>
        </w:rPr>
        <w:t xml:space="preserve">Session 1 – </w:t>
      </w:r>
      <w:hyperlink r:id="rId21" w:history="1">
        <w:r w:rsidRPr="00663D03">
          <w:rPr>
            <w:rStyle w:val="Hyperlink"/>
            <w:sz w:val="24"/>
            <w:szCs w:val="24"/>
          </w:rPr>
          <w:t>Organisational Inclusion</w:t>
        </w:r>
      </w:hyperlink>
    </w:p>
    <w:p w14:paraId="1D739F7D" w14:textId="1491F280" w:rsidR="00663D03" w:rsidRPr="00663D03" w:rsidRDefault="00663D03" w:rsidP="00663D03">
      <w:pPr>
        <w:pStyle w:val="ListParagraph"/>
        <w:numPr>
          <w:ilvl w:val="0"/>
          <w:numId w:val="8"/>
        </w:numPr>
        <w:rPr>
          <w:sz w:val="24"/>
          <w:szCs w:val="24"/>
        </w:rPr>
      </w:pPr>
      <w:r w:rsidRPr="00663D03">
        <w:rPr>
          <w:sz w:val="24"/>
          <w:szCs w:val="24"/>
        </w:rPr>
        <w:t xml:space="preserve">Session 2 – </w:t>
      </w:r>
      <w:hyperlink r:id="rId22" w:history="1">
        <w:r w:rsidRPr="00663D03">
          <w:rPr>
            <w:rStyle w:val="Hyperlink"/>
            <w:sz w:val="24"/>
            <w:szCs w:val="24"/>
          </w:rPr>
          <w:t>Advocacy and Inclusion</w:t>
        </w:r>
      </w:hyperlink>
    </w:p>
    <w:p w14:paraId="72F313CB" w14:textId="6164DD63" w:rsidR="00663D03" w:rsidRPr="00663D03" w:rsidRDefault="00663D03" w:rsidP="00663D03">
      <w:pPr>
        <w:pStyle w:val="ListParagraph"/>
        <w:numPr>
          <w:ilvl w:val="0"/>
          <w:numId w:val="8"/>
        </w:numPr>
        <w:rPr>
          <w:sz w:val="24"/>
          <w:szCs w:val="24"/>
        </w:rPr>
      </w:pPr>
      <w:r w:rsidRPr="00663D03">
        <w:rPr>
          <w:sz w:val="24"/>
          <w:szCs w:val="24"/>
        </w:rPr>
        <w:t xml:space="preserve">Session 3a – </w:t>
      </w:r>
      <w:hyperlink r:id="rId23" w:history="1">
        <w:r w:rsidRPr="00663D03">
          <w:rPr>
            <w:rStyle w:val="Hyperlink"/>
            <w:sz w:val="24"/>
            <w:szCs w:val="24"/>
          </w:rPr>
          <w:t>Programmatic Inclusion</w:t>
        </w:r>
      </w:hyperlink>
      <w:r w:rsidRPr="00663D03">
        <w:rPr>
          <w:sz w:val="24"/>
          <w:szCs w:val="24"/>
        </w:rPr>
        <w:t xml:space="preserve"> – Paul </w:t>
      </w:r>
      <w:proofErr w:type="spellStart"/>
      <w:r w:rsidRPr="00663D03">
        <w:rPr>
          <w:sz w:val="24"/>
          <w:szCs w:val="24"/>
        </w:rPr>
        <w:t>Deany</w:t>
      </w:r>
      <w:proofErr w:type="spellEnd"/>
      <w:r w:rsidRPr="00663D03">
        <w:rPr>
          <w:sz w:val="24"/>
          <w:szCs w:val="24"/>
        </w:rPr>
        <w:t>, AVI</w:t>
      </w:r>
    </w:p>
    <w:p w14:paraId="7778B68E" w14:textId="141C6838" w:rsidR="00663D03" w:rsidRPr="00663D03" w:rsidRDefault="00663D03" w:rsidP="00663D03">
      <w:pPr>
        <w:pStyle w:val="ListParagraph"/>
        <w:numPr>
          <w:ilvl w:val="0"/>
          <w:numId w:val="8"/>
        </w:numPr>
        <w:rPr>
          <w:sz w:val="24"/>
          <w:szCs w:val="24"/>
        </w:rPr>
      </w:pPr>
      <w:r w:rsidRPr="00663D03">
        <w:rPr>
          <w:sz w:val="24"/>
          <w:szCs w:val="24"/>
        </w:rPr>
        <w:t xml:space="preserve">Session 3b – </w:t>
      </w:r>
      <w:hyperlink r:id="rId24" w:history="1">
        <w:r w:rsidRPr="00663D03">
          <w:rPr>
            <w:rStyle w:val="Hyperlink"/>
            <w:sz w:val="24"/>
            <w:szCs w:val="24"/>
          </w:rPr>
          <w:t>Programmatic Inclusion</w:t>
        </w:r>
      </w:hyperlink>
      <w:r w:rsidRPr="00663D03">
        <w:rPr>
          <w:sz w:val="24"/>
          <w:szCs w:val="24"/>
        </w:rPr>
        <w:t xml:space="preserve"> – Panel of speakers</w:t>
      </w:r>
    </w:p>
    <w:p w14:paraId="15C7165B" w14:textId="6EA059AC" w:rsidR="00053E54" w:rsidRPr="00663D03" w:rsidRDefault="00663D03" w:rsidP="00663D03">
      <w:pPr>
        <w:pStyle w:val="ListParagraph"/>
        <w:numPr>
          <w:ilvl w:val="0"/>
          <w:numId w:val="8"/>
        </w:numPr>
        <w:rPr>
          <w:sz w:val="24"/>
          <w:szCs w:val="24"/>
        </w:rPr>
      </w:pPr>
      <w:r w:rsidRPr="00663D03">
        <w:rPr>
          <w:sz w:val="24"/>
          <w:szCs w:val="24"/>
        </w:rPr>
        <w:t xml:space="preserve">Session 3c – </w:t>
      </w:r>
      <w:hyperlink r:id="rId25" w:history="1">
        <w:r w:rsidRPr="00663D03">
          <w:rPr>
            <w:rStyle w:val="Hyperlink"/>
            <w:sz w:val="24"/>
            <w:szCs w:val="24"/>
          </w:rPr>
          <w:t>Programmatic Inclusion</w:t>
        </w:r>
      </w:hyperlink>
      <w:r w:rsidRPr="00663D03">
        <w:rPr>
          <w:sz w:val="24"/>
          <w:szCs w:val="24"/>
        </w:rPr>
        <w:t xml:space="preserve"> – Organisational Assessment Tool</w:t>
      </w:r>
    </w:p>
    <w:p w14:paraId="11B16BEA" w14:textId="77777777" w:rsidR="00053E54" w:rsidRPr="00625B22" w:rsidRDefault="00053E54" w:rsidP="00403536">
      <w:pPr>
        <w:pStyle w:val="Heading1"/>
      </w:pPr>
      <w:r w:rsidRPr="00625B22">
        <w:t>Interested in joining the Disability Focal Point Network?</w:t>
      </w:r>
    </w:p>
    <w:p w14:paraId="5E85B517" w14:textId="4CD15805" w:rsidR="00053E54" w:rsidRPr="00625B22" w:rsidRDefault="008D7C10" w:rsidP="00053E54">
      <w:pPr>
        <w:rPr>
          <w:sz w:val="24"/>
          <w:szCs w:val="24"/>
        </w:rPr>
      </w:pPr>
      <w:hyperlink r:id="rId26" w:history="1">
        <w:r w:rsidRPr="00625B22">
          <w:rPr>
            <w:rStyle w:val="Hyperlink"/>
            <w:sz w:val="24"/>
            <w:szCs w:val="24"/>
          </w:rPr>
          <w:t>Fo</w:t>
        </w:r>
        <w:r w:rsidR="00053E54" w:rsidRPr="00625B22">
          <w:rPr>
            <w:rStyle w:val="Hyperlink"/>
            <w:sz w:val="24"/>
            <w:szCs w:val="24"/>
          </w:rPr>
          <w:t>r more information</w:t>
        </w:r>
      </w:hyperlink>
      <w:r w:rsidRPr="00625B22">
        <w:rPr>
          <w:sz w:val="24"/>
          <w:szCs w:val="24"/>
        </w:rPr>
        <w:t xml:space="preserve"> including how to </w:t>
      </w:r>
      <w:r w:rsidR="00053E54" w:rsidRPr="00625B22">
        <w:rPr>
          <w:sz w:val="24"/>
          <w:szCs w:val="24"/>
        </w:rPr>
        <w:t>register your interest.</w:t>
      </w:r>
    </w:p>
    <w:p w14:paraId="4A811F54" w14:textId="77777777" w:rsidR="00053E54" w:rsidRPr="00625B22" w:rsidRDefault="00053E54" w:rsidP="00053E54">
      <w:pPr>
        <w:rPr>
          <w:sz w:val="24"/>
          <w:szCs w:val="24"/>
        </w:rPr>
      </w:pPr>
    </w:p>
    <w:p w14:paraId="437CEB68" w14:textId="60222E7E" w:rsidR="001F567B" w:rsidRPr="00625B22" w:rsidRDefault="001F567B" w:rsidP="002E7D60">
      <w:pPr>
        <w:rPr>
          <w:sz w:val="24"/>
          <w:szCs w:val="24"/>
        </w:rPr>
      </w:pPr>
      <w:bookmarkStart w:id="0" w:name="_GoBack"/>
      <w:bookmarkEnd w:id="0"/>
    </w:p>
    <w:sectPr w:rsidR="001F567B" w:rsidRPr="00625B22">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9481D" w14:textId="77777777" w:rsidR="008900B3" w:rsidRDefault="008900B3" w:rsidP="009B3272">
      <w:pPr>
        <w:spacing w:after="0" w:line="240" w:lineRule="auto"/>
      </w:pPr>
      <w:r>
        <w:separator/>
      </w:r>
    </w:p>
  </w:endnote>
  <w:endnote w:type="continuationSeparator" w:id="0">
    <w:p w14:paraId="0A038B64" w14:textId="77777777" w:rsidR="008900B3" w:rsidRDefault="008900B3" w:rsidP="009B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0C8F6" w14:textId="77777777" w:rsidR="008900B3" w:rsidRDefault="008900B3" w:rsidP="009B3272">
      <w:pPr>
        <w:spacing w:after="0" w:line="240" w:lineRule="auto"/>
      </w:pPr>
      <w:r>
        <w:separator/>
      </w:r>
    </w:p>
  </w:footnote>
  <w:footnote w:type="continuationSeparator" w:id="0">
    <w:p w14:paraId="3A1B6D69" w14:textId="77777777" w:rsidR="008900B3" w:rsidRDefault="008900B3" w:rsidP="009B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3CA0E" w14:textId="6826737E" w:rsidR="008900B3" w:rsidRPr="009B3272" w:rsidRDefault="00511F1A" w:rsidP="009B3272">
    <w:pPr>
      <w:pStyle w:val="Header"/>
      <w:jc w:val="right"/>
      <w:rPr>
        <w:sz w:val="16"/>
        <w:szCs w:val="16"/>
      </w:rPr>
    </w:pPr>
    <w:r>
      <w:rPr>
        <w:sz w:val="16"/>
        <w:szCs w:val="16"/>
      </w:rPr>
      <w:t>Octo</w:t>
    </w:r>
    <w:r w:rsidR="008900B3" w:rsidRPr="009B3272">
      <w:rPr>
        <w:sz w:val="16"/>
        <w:szCs w:val="16"/>
      </w:rPr>
      <w:t>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5A30"/>
    <w:multiLevelType w:val="hybridMultilevel"/>
    <w:tmpl w:val="57DA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08121B"/>
    <w:multiLevelType w:val="hybridMultilevel"/>
    <w:tmpl w:val="8060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61578D"/>
    <w:multiLevelType w:val="hybridMultilevel"/>
    <w:tmpl w:val="1BBC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E71022"/>
    <w:multiLevelType w:val="hybridMultilevel"/>
    <w:tmpl w:val="2A00C82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15:restartNumberingAfterBreak="0">
    <w:nsid w:val="4A54443B"/>
    <w:multiLevelType w:val="hybridMultilevel"/>
    <w:tmpl w:val="EB40ABFA"/>
    <w:lvl w:ilvl="0" w:tplc="D1228DD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2A4C94"/>
    <w:multiLevelType w:val="hybridMultilevel"/>
    <w:tmpl w:val="00A0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C0185A"/>
    <w:multiLevelType w:val="hybridMultilevel"/>
    <w:tmpl w:val="D598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9C017C"/>
    <w:multiLevelType w:val="hybridMultilevel"/>
    <w:tmpl w:val="24DC7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F3C7734-573F-4310-A65B-A83489F42E46}"/>
    <w:docVar w:name="dgnword-eventsink" w:val="367923184"/>
  </w:docVars>
  <w:rsids>
    <w:rsidRoot w:val="002E7D60"/>
    <w:rsid w:val="00002A2A"/>
    <w:rsid w:val="00053E54"/>
    <w:rsid w:val="00074CA4"/>
    <w:rsid w:val="00082226"/>
    <w:rsid w:val="00091BA4"/>
    <w:rsid w:val="000E41B5"/>
    <w:rsid w:val="0014566E"/>
    <w:rsid w:val="001635A8"/>
    <w:rsid w:val="001A50D5"/>
    <w:rsid w:val="001B3169"/>
    <w:rsid w:val="001F567B"/>
    <w:rsid w:val="002E7D60"/>
    <w:rsid w:val="00310A59"/>
    <w:rsid w:val="00371E91"/>
    <w:rsid w:val="00403536"/>
    <w:rsid w:val="00455178"/>
    <w:rsid w:val="004A301F"/>
    <w:rsid w:val="004D1ED9"/>
    <w:rsid w:val="004D5BE6"/>
    <w:rsid w:val="00500120"/>
    <w:rsid w:val="00511F1A"/>
    <w:rsid w:val="00526072"/>
    <w:rsid w:val="005B6641"/>
    <w:rsid w:val="005E79E3"/>
    <w:rsid w:val="00625B22"/>
    <w:rsid w:val="00663D03"/>
    <w:rsid w:val="00684AD6"/>
    <w:rsid w:val="0071254A"/>
    <w:rsid w:val="00724FAD"/>
    <w:rsid w:val="0072639D"/>
    <w:rsid w:val="00744095"/>
    <w:rsid w:val="007A410F"/>
    <w:rsid w:val="007A53A4"/>
    <w:rsid w:val="007B20A9"/>
    <w:rsid w:val="008072A7"/>
    <w:rsid w:val="008660C5"/>
    <w:rsid w:val="008900B3"/>
    <w:rsid w:val="008D7C10"/>
    <w:rsid w:val="008E3092"/>
    <w:rsid w:val="008F1BE3"/>
    <w:rsid w:val="009A7AD1"/>
    <w:rsid w:val="009B3272"/>
    <w:rsid w:val="00A21AFB"/>
    <w:rsid w:val="00A34F86"/>
    <w:rsid w:val="00AC6F34"/>
    <w:rsid w:val="00AD02CD"/>
    <w:rsid w:val="00B40D04"/>
    <w:rsid w:val="00B85335"/>
    <w:rsid w:val="00BA2976"/>
    <w:rsid w:val="00BA7F21"/>
    <w:rsid w:val="00BF43F3"/>
    <w:rsid w:val="00C026A1"/>
    <w:rsid w:val="00C41AF8"/>
    <w:rsid w:val="00CC415D"/>
    <w:rsid w:val="00D03C60"/>
    <w:rsid w:val="00D36D23"/>
    <w:rsid w:val="00D553E4"/>
    <w:rsid w:val="00D612E5"/>
    <w:rsid w:val="00DC1747"/>
    <w:rsid w:val="00DC3F00"/>
    <w:rsid w:val="00DF0723"/>
    <w:rsid w:val="00E05BD2"/>
    <w:rsid w:val="00E56B51"/>
    <w:rsid w:val="00ED084F"/>
    <w:rsid w:val="00EE3278"/>
    <w:rsid w:val="00F15FFE"/>
    <w:rsid w:val="00F33729"/>
    <w:rsid w:val="00F51A62"/>
    <w:rsid w:val="00F95D21"/>
    <w:rsid w:val="00FC3C40"/>
    <w:rsid w:val="00FD2F2F"/>
    <w:rsid w:val="00FE20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71121"/>
  <w15:docId w15:val="{9CA7F5C9-86AB-47E0-9F19-76FE08E1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6641"/>
    <w:pPr>
      <w:outlineLvl w:val="0"/>
    </w:pPr>
    <w:rPr>
      <w:b/>
      <w:sz w:val="24"/>
      <w:szCs w:val="24"/>
      <w:u w:val="single"/>
    </w:rPr>
  </w:style>
  <w:style w:type="paragraph" w:styleId="Heading2">
    <w:name w:val="heading 2"/>
    <w:basedOn w:val="Normal"/>
    <w:next w:val="Normal"/>
    <w:link w:val="Heading2Char"/>
    <w:uiPriority w:val="9"/>
    <w:unhideWhenUsed/>
    <w:qFormat/>
    <w:rsid w:val="00625B22"/>
    <w:pPr>
      <w:tabs>
        <w:tab w:val="left" w:pos="4951"/>
      </w:tabs>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60"/>
    <w:pPr>
      <w:ind w:left="720"/>
      <w:contextualSpacing/>
    </w:pPr>
  </w:style>
  <w:style w:type="character" w:styleId="Hyperlink">
    <w:name w:val="Hyperlink"/>
    <w:basedOn w:val="DefaultParagraphFont"/>
    <w:uiPriority w:val="99"/>
    <w:unhideWhenUsed/>
    <w:rsid w:val="002E7D60"/>
    <w:rPr>
      <w:color w:val="0563C1" w:themeColor="hyperlink"/>
      <w:u w:val="single"/>
    </w:rPr>
  </w:style>
  <w:style w:type="paragraph" w:styleId="Header">
    <w:name w:val="header"/>
    <w:basedOn w:val="Normal"/>
    <w:link w:val="HeaderChar"/>
    <w:uiPriority w:val="99"/>
    <w:unhideWhenUsed/>
    <w:rsid w:val="009B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72"/>
  </w:style>
  <w:style w:type="paragraph" w:styleId="Footer">
    <w:name w:val="footer"/>
    <w:basedOn w:val="Normal"/>
    <w:link w:val="FooterChar"/>
    <w:uiPriority w:val="99"/>
    <w:unhideWhenUsed/>
    <w:rsid w:val="009B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72"/>
  </w:style>
  <w:style w:type="character" w:styleId="FollowedHyperlink">
    <w:name w:val="FollowedHyperlink"/>
    <w:basedOn w:val="DefaultParagraphFont"/>
    <w:uiPriority w:val="99"/>
    <w:semiHidden/>
    <w:unhideWhenUsed/>
    <w:rsid w:val="00D553E4"/>
    <w:rPr>
      <w:color w:val="954F72" w:themeColor="followedHyperlink"/>
      <w:u w:val="single"/>
    </w:rPr>
  </w:style>
  <w:style w:type="table" w:styleId="TableGrid">
    <w:name w:val="Table Grid"/>
    <w:basedOn w:val="TableNormal"/>
    <w:uiPriority w:val="39"/>
    <w:rsid w:val="005E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6641"/>
    <w:pPr>
      <w:jc w:val="center"/>
    </w:pPr>
    <w:rPr>
      <w:b/>
      <w:sz w:val="28"/>
      <w:szCs w:val="28"/>
    </w:rPr>
  </w:style>
  <w:style w:type="character" w:customStyle="1" w:styleId="TitleChar">
    <w:name w:val="Title Char"/>
    <w:basedOn w:val="DefaultParagraphFont"/>
    <w:link w:val="Title"/>
    <w:uiPriority w:val="10"/>
    <w:rsid w:val="005B6641"/>
    <w:rPr>
      <w:b/>
      <w:sz w:val="28"/>
      <w:szCs w:val="28"/>
    </w:rPr>
  </w:style>
  <w:style w:type="character" w:customStyle="1" w:styleId="Heading1Char">
    <w:name w:val="Heading 1 Char"/>
    <w:basedOn w:val="DefaultParagraphFont"/>
    <w:link w:val="Heading1"/>
    <w:uiPriority w:val="9"/>
    <w:rsid w:val="005B6641"/>
    <w:rPr>
      <w:b/>
      <w:sz w:val="24"/>
      <w:szCs w:val="24"/>
      <w:u w:val="single"/>
    </w:rPr>
  </w:style>
  <w:style w:type="character" w:customStyle="1" w:styleId="Heading2Char">
    <w:name w:val="Heading 2 Char"/>
    <w:basedOn w:val="DefaultParagraphFont"/>
    <w:link w:val="Heading2"/>
    <w:uiPriority w:val="9"/>
    <w:rsid w:val="00625B2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57920">
      <w:bodyDiv w:val="1"/>
      <w:marLeft w:val="0"/>
      <w:marRight w:val="0"/>
      <w:marTop w:val="0"/>
      <w:marBottom w:val="0"/>
      <w:divBdr>
        <w:top w:val="none" w:sz="0" w:space="0" w:color="auto"/>
        <w:left w:val="none" w:sz="0" w:space="0" w:color="auto"/>
        <w:bottom w:val="none" w:sz="0" w:space="0" w:color="auto"/>
        <w:right w:val="none" w:sz="0" w:space="0" w:color="auto"/>
      </w:divBdr>
    </w:div>
    <w:div w:id="14110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bs.vic.gov.au/" TargetMode="External"/><Relationship Id="rId18" Type="http://schemas.openxmlformats.org/officeDocument/2006/relationships/hyperlink" Target="https://www.endthecycle.info/file/video-making-toolkit-making-videos-include-persons-disabilities-pdf/" TargetMode="External"/><Relationship Id="rId26" Type="http://schemas.openxmlformats.org/officeDocument/2006/relationships/hyperlink" Target="https://www.addc.org.au/home/areas-of-work/disability-focal-point-network/" TargetMode="External"/><Relationship Id="rId3" Type="http://schemas.openxmlformats.org/officeDocument/2006/relationships/styles" Target="styles.xml"/><Relationship Id="rId21" Type="http://schemas.openxmlformats.org/officeDocument/2006/relationships/hyperlink" Target="https://www.addc.org.au/wp-content/uploads/2019/04/PPT-ADDC-PIF-April-2019-Session-1.pdf" TargetMode="External"/><Relationship Id="rId7" Type="http://schemas.openxmlformats.org/officeDocument/2006/relationships/endnotes" Target="endnotes.xml"/><Relationship Id="rId12" Type="http://schemas.openxmlformats.org/officeDocument/2006/relationships/hyperlink" Target="https://vpsc.vic.gov.au/wp-content/uploads/2018/10/Getting-to-work.pdf" TargetMode="External"/><Relationship Id="rId17" Type="http://schemas.openxmlformats.org/officeDocument/2006/relationships/hyperlink" Target="https://www.jobaccess.gov.au/employment-assistance-fund-eaf" TargetMode="External"/><Relationship Id="rId25" Type="http://schemas.openxmlformats.org/officeDocument/2006/relationships/hyperlink" Target="https://www.addc.org.au/wp-content/uploads/2019/04/PPT-ADDC-PIF-April-2019-Session-3-Inclusion-Assessment-Tool.pdf" TargetMode="External"/><Relationship Id="rId2" Type="http://schemas.openxmlformats.org/officeDocument/2006/relationships/numbering" Target="numbering.xml"/><Relationship Id="rId16" Type="http://schemas.openxmlformats.org/officeDocument/2006/relationships/hyperlink" Target="https://www.jobaccess.gov.au/employment-assistance-fund-eaf" TargetMode="External"/><Relationship Id="rId20" Type="http://schemas.openxmlformats.org/officeDocument/2006/relationships/hyperlink" Target="https://www.addc.org.au/wp-content/uploads/2019/04/Agenda-PIF-Org-Inclusion-11th-April-for-participant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org.au/" TargetMode="External"/><Relationship Id="rId24" Type="http://schemas.openxmlformats.org/officeDocument/2006/relationships/hyperlink" Target="https://www.addc.org.au/wp-content/uploads/2019/04/PPT-ADDC-PIF-April-2019-Session-3-Panel.pdf" TargetMode="External"/><Relationship Id="rId5" Type="http://schemas.openxmlformats.org/officeDocument/2006/relationships/webSettings" Target="webSettings.xml"/><Relationship Id="rId15" Type="http://schemas.openxmlformats.org/officeDocument/2006/relationships/hyperlink" Target="https://www.headsup.org.au/" TargetMode="External"/><Relationship Id="rId23" Type="http://schemas.openxmlformats.org/officeDocument/2006/relationships/hyperlink" Target="https://www.addc.org.au/wp-content/uploads/2019/04/PPT-ADDC-PIF-April-2019-Session-3-Paul-Deany-AVI.pdf" TargetMode="External"/><Relationship Id="rId28" Type="http://schemas.openxmlformats.org/officeDocument/2006/relationships/fontTable" Target="fontTable.xml"/><Relationship Id="rId10" Type="http://schemas.openxmlformats.org/officeDocument/2006/relationships/hyperlink" Target="http://www.daru.org.au/wp/wp-content/uploads/2019/01/Disability-Inclusion-Final.pdf" TargetMode="External"/><Relationship Id="rId19" Type="http://schemas.openxmlformats.org/officeDocument/2006/relationships/hyperlink" Target="https://www.cbm.org.au/wp-content/uploads/2019/04/CBM-ORGANISATION-ENGAGEMENT-ON-DISABILITY-INCLUSION-TOOL.pdf" TargetMode="External"/><Relationship Id="rId4" Type="http://schemas.openxmlformats.org/officeDocument/2006/relationships/settings" Target="settings.xml"/><Relationship Id="rId9" Type="http://schemas.openxmlformats.org/officeDocument/2006/relationships/hyperlink" Target="https://vpsc.vic.gov.au/disability-employment-toolkit/" TargetMode="External"/><Relationship Id="rId14" Type="http://schemas.openxmlformats.org/officeDocument/2006/relationships/hyperlink" Target="http://www.mediaaccess.org.au/" TargetMode="External"/><Relationship Id="rId22" Type="http://schemas.openxmlformats.org/officeDocument/2006/relationships/hyperlink" Target="https://www.addc.org.au/wp-content/uploads/2019/04/PPT-ADDC-PIF-April-2019-Session-2.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7950-9879-4E06-9AB3-E087BDD2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Clarke</dc:creator>
  <cp:keywords/>
  <dc:description/>
  <cp:lastModifiedBy>Linda Munoz</cp:lastModifiedBy>
  <cp:revision>24</cp:revision>
  <dcterms:created xsi:type="dcterms:W3CDTF">2019-10-02T22:54:00Z</dcterms:created>
  <dcterms:modified xsi:type="dcterms:W3CDTF">2019-10-22T23:15:00Z</dcterms:modified>
</cp:coreProperties>
</file>