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E2B" w:rsidRPr="00DA3BC8" w:rsidRDefault="009B6E2B" w:rsidP="00B977C7">
      <w:pPr>
        <w:pStyle w:val="Title"/>
        <w:spacing w:after="240"/>
        <w:jc w:val="center"/>
        <w:rPr>
          <w:rFonts w:asciiTheme="minorHAnsi" w:hAnsiTheme="minorHAnsi" w:cstheme="minorHAnsi"/>
          <w:b/>
          <w:sz w:val="52"/>
          <w:szCs w:val="52"/>
        </w:rPr>
      </w:pPr>
      <w:r w:rsidRPr="00DA3BC8">
        <w:rPr>
          <w:rFonts w:asciiTheme="minorHAnsi" w:hAnsiTheme="minorHAnsi" w:cstheme="minorHAnsi"/>
          <w:b/>
          <w:sz w:val="52"/>
          <w:szCs w:val="52"/>
        </w:rPr>
        <w:t>Reduction in DFAT’s funding for and performance in disability inclusion</w:t>
      </w:r>
    </w:p>
    <w:p w:rsidR="009B6E2B" w:rsidRPr="00DA3BC8" w:rsidRDefault="00154B6E" w:rsidP="00DA3BC8">
      <w:pPr>
        <w:pStyle w:val="Subtitle"/>
        <w:spacing w:after="0"/>
        <w:jc w:val="center"/>
        <w:rPr>
          <w:rFonts w:cstheme="minorHAnsi"/>
          <w:b/>
          <w:color w:val="auto"/>
        </w:rPr>
      </w:pPr>
      <w:r w:rsidRPr="00DA3BC8">
        <w:rPr>
          <w:rFonts w:cstheme="minorHAnsi"/>
          <w:b/>
          <w:color w:val="auto"/>
        </w:rPr>
        <w:t>May</w:t>
      </w:r>
      <w:r w:rsidR="009B6E2B" w:rsidRPr="00DA3BC8">
        <w:rPr>
          <w:rFonts w:cstheme="minorHAnsi"/>
          <w:b/>
          <w:color w:val="auto"/>
        </w:rPr>
        <w:t xml:space="preserve"> 2021</w:t>
      </w:r>
      <w:r w:rsidR="00DA3BC8">
        <w:rPr>
          <w:rFonts w:cstheme="minorHAnsi"/>
          <w:b/>
          <w:color w:val="auto"/>
        </w:rPr>
        <w:t xml:space="preserve">, </w:t>
      </w:r>
      <w:r w:rsidR="009B6E2B" w:rsidRPr="00DA3BC8">
        <w:rPr>
          <w:rFonts w:cstheme="minorHAnsi"/>
          <w:b/>
          <w:color w:val="auto"/>
        </w:rPr>
        <w:t>Australian Disability and Development Consortium</w:t>
      </w:r>
    </w:p>
    <w:p w:rsidR="005808F5" w:rsidRPr="00DA3BC8" w:rsidRDefault="00B977C7" w:rsidP="005808F5">
      <w:pPr>
        <w:pStyle w:val="Subtitle"/>
        <w:jc w:val="center"/>
        <w:rPr>
          <w:rFonts w:cstheme="minorHAnsi"/>
          <w:color w:val="auto"/>
        </w:rPr>
      </w:pPr>
      <w:r w:rsidRPr="00DA3BC8">
        <w:rPr>
          <w:rFonts w:cstheme="minorHAnsi"/>
          <w:color w:val="auto"/>
        </w:rPr>
        <w:t xml:space="preserve">Contact: </w:t>
      </w:r>
      <w:r w:rsidR="00154B6E" w:rsidRPr="00DA3BC8">
        <w:rPr>
          <w:rFonts w:cstheme="minorHAnsi"/>
          <w:color w:val="auto"/>
        </w:rPr>
        <w:t>Kerryn Clarke</w:t>
      </w:r>
      <w:r w:rsidRPr="00DA3BC8">
        <w:rPr>
          <w:rFonts w:cstheme="minorHAnsi"/>
          <w:color w:val="auto"/>
        </w:rPr>
        <w:t xml:space="preserve">, Executive Officer, ADDC, </w:t>
      </w:r>
      <w:r w:rsidR="00154B6E" w:rsidRPr="00DA3BC8">
        <w:rPr>
          <w:rFonts w:cstheme="minorHAnsi"/>
          <w:color w:val="auto"/>
        </w:rPr>
        <w:t>kclarke</w:t>
      </w:r>
      <w:r w:rsidRPr="00DA3BC8">
        <w:rPr>
          <w:rFonts w:cstheme="minorHAnsi"/>
          <w:color w:val="auto"/>
        </w:rPr>
        <w:t>@addc.org.au</w:t>
      </w:r>
    </w:p>
    <w:p w:rsidR="009B6E2B" w:rsidRPr="009B6E2B" w:rsidRDefault="009B6E2B" w:rsidP="00B977C7">
      <w:pPr>
        <w:spacing w:before="240"/>
        <w:jc w:val="center"/>
      </w:pPr>
      <w:r>
        <w:rPr>
          <w:noProof/>
          <w:lang w:eastAsia="en-AU"/>
        </w:rPr>
        <w:drawing>
          <wp:inline distT="0" distB="0" distL="0" distR="0" wp14:anchorId="546A2B56" wp14:editId="080D636E">
            <wp:extent cx="2015093" cy="905773"/>
            <wp:effectExtent l="0" t="0" r="4445"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57451" cy="924813"/>
                    </a:xfrm>
                    <a:prstGeom prst="rect">
                      <a:avLst/>
                    </a:prstGeom>
                  </pic:spPr>
                </pic:pic>
              </a:graphicData>
            </a:graphic>
          </wp:inline>
        </w:drawing>
      </w:r>
    </w:p>
    <w:p w:rsidR="009B6E2B" w:rsidRPr="00B977C7" w:rsidRDefault="00B977C7" w:rsidP="009D5968">
      <w:r>
        <w:t xml:space="preserve">This paper summarises the dramatic reductions seen over the </w:t>
      </w:r>
      <w:r w:rsidR="00675191" w:rsidRPr="00B977C7">
        <w:t xml:space="preserve">past 5 years </w:t>
      </w:r>
      <w:r>
        <w:t xml:space="preserve">in each of: </w:t>
      </w:r>
    </w:p>
    <w:p w:rsidR="009B6E2B" w:rsidRPr="00B977C7" w:rsidRDefault="009B6E2B" w:rsidP="009B6E2B">
      <w:pPr>
        <w:pStyle w:val="ListParagraph"/>
        <w:numPr>
          <w:ilvl w:val="0"/>
          <w:numId w:val="6"/>
        </w:numPr>
      </w:pPr>
      <w:r w:rsidRPr="00B977C7">
        <w:t>T</w:t>
      </w:r>
      <w:r w:rsidR="00675191" w:rsidRPr="00B977C7">
        <w:t xml:space="preserve">he </w:t>
      </w:r>
      <w:r w:rsidR="00675191" w:rsidRPr="00B977C7">
        <w:rPr>
          <w:i/>
        </w:rPr>
        <w:t xml:space="preserve">performance </w:t>
      </w:r>
      <w:r w:rsidR="00675191" w:rsidRPr="00B977C7">
        <w:t xml:space="preserve">of disability inclusion within Australia’s aid program, </w:t>
      </w:r>
    </w:p>
    <w:p w:rsidR="009B6E2B" w:rsidRPr="00B977C7" w:rsidRDefault="009B6E2B" w:rsidP="009B6E2B">
      <w:pPr>
        <w:pStyle w:val="ListParagraph"/>
        <w:numPr>
          <w:ilvl w:val="0"/>
          <w:numId w:val="6"/>
        </w:numPr>
      </w:pPr>
      <w:r w:rsidRPr="00B977C7">
        <w:t>T</w:t>
      </w:r>
      <w:r w:rsidR="00675191" w:rsidRPr="00B977C7">
        <w:t xml:space="preserve">he Australian Government’s </w:t>
      </w:r>
      <w:r w:rsidR="00675191" w:rsidRPr="00B977C7">
        <w:rPr>
          <w:i/>
        </w:rPr>
        <w:t>funding</w:t>
      </w:r>
      <w:r w:rsidR="00675191" w:rsidRPr="00B977C7">
        <w:t xml:space="preserve"> for DFAT’s central disability inclusion </w:t>
      </w:r>
      <w:r w:rsidRPr="00B977C7">
        <w:t>budget, and</w:t>
      </w:r>
    </w:p>
    <w:p w:rsidR="00675191" w:rsidRDefault="009B6E2B" w:rsidP="009B6E2B">
      <w:pPr>
        <w:pStyle w:val="ListParagraph"/>
        <w:numPr>
          <w:ilvl w:val="0"/>
          <w:numId w:val="6"/>
        </w:numPr>
      </w:pPr>
      <w:r w:rsidRPr="00B977C7">
        <w:t xml:space="preserve">The Australian Government’s </w:t>
      </w:r>
      <w:r w:rsidRPr="00B977C7">
        <w:rPr>
          <w:i/>
        </w:rPr>
        <w:t>funding</w:t>
      </w:r>
      <w:r w:rsidR="00675191" w:rsidRPr="00B977C7">
        <w:t xml:space="preserve"> disability-inclusive programming.</w:t>
      </w:r>
    </w:p>
    <w:p w:rsidR="005808F5" w:rsidRPr="00B977C7" w:rsidRDefault="005808F5" w:rsidP="005808F5">
      <w:pPr>
        <w:pStyle w:val="ListParagraph"/>
        <w:ind w:left="360"/>
      </w:pPr>
    </w:p>
    <w:p w:rsidR="00552A3A" w:rsidRPr="009B6E2B" w:rsidRDefault="00EE6167" w:rsidP="00B977C7">
      <w:pPr>
        <w:pStyle w:val="Heading1"/>
      </w:pPr>
      <w:r w:rsidRPr="009B6E2B">
        <w:t>Reduction in d</w:t>
      </w:r>
      <w:r w:rsidR="004B0DC0" w:rsidRPr="009B6E2B">
        <w:t>isability-inclusive perform</w:t>
      </w:r>
      <w:r w:rsidR="00A403B9" w:rsidRPr="009B6E2B">
        <w:t xml:space="preserve">ance in </w:t>
      </w:r>
      <w:r w:rsidR="00B5279B" w:rsidRPr="009B6E2B">
        <w:br/>
        <w:t xml:space="preserve">Australia’s </w:t>
      </w:r>
      <w:r w:rsidR="001170C5" w:rsidRPr="009B6E2B">
        <w:t xml:space="preserve">international </w:t>
      </w:r>
      <w:r w:rsidR="00B5279B" w:rsidRPr="009B6E2B">
        <w:t xml:space="preserve">development </w:t>
      </w:r>
      <w:r w:rsidR="00A403B9" w:rsidRPr="009B6E2B">
        <w:t>investments</w:t>
      </w:r>
      <w:r w:rsidR="00DD0DE2" w:rsidRPr="009B6E2B">
        <w:t xml:space="preserve"> </w:t>
      </w:r>
    </w:p>
    <w:p w:rsidR="00BF1D41" w:rsidRPr="00B977C7" w:rsidRDefault="001170C5" w:rsidP="00552A3A">
      <w:r w:rsidRPr="00B977C7">
        <w:t>The d</w:t>
      </w:r>
      <w:r w:rsidR="00BF1D41" w:rsidRPr="00B977C7">
        <w:t xml:space="preserve">isability-inclusive performance of </w:t>
      </w:r>
      <w:r w:rsidRPr="00B977C7">
        <w:t xml:space="preserve">the Department of Foreign Affairs and Trade’s </w:t>
      </w:r>
      <w:r w:rsidR="00767466" w:rsidRPr="00B977C7">
        <w:t xml:space="preserve">(DFAT) </w:t>
      </w:r>
      <w:r w:rsidRPr="00B977C7">
        <w:t>individual international development</w:t>
      </w:r>
      <w:r w:rsidR="00BF1D41" w:rsidRPr="00B977C7">
        <w:t xml:space="preserve"> investments is assessed through two questions:</w:t>
      </w:r>
    </w:p>
    <w:p w:rsidR="00BF1D41" w:rsidRPr="00B977C7" w:rsidRDefault="00BF1D41" w:rsidP="00B5279B">
      <w:pPr>
        <w:pStyle w:val="ListParagraph"/>
        <w:numPr>
          <w:ilvl w:val="0"/>
          <w:numId w:val="2"/>
        </w:numPr>
      </w:pPr>
      <w:r w:rsidRPr="00B977C7">
        <w:t>Q</w:t>
      </w:r>
      <w:r w:rsidR="009B6E2B" w:rsidRPr="00B977C7">
        <w:t xml:space="preserve">uestion </w:t>
      </w:r>
      <w:r w:rsidRPr="00B977C7">
        <w:t>1: the investment identifies and addresses barriers to inclusion and opportunities for participation of people with disabilities.</w:t>
      </w:r>
    </w:p>
    <w:p w:rsidR="00B5279B" w:rsidRPr="00B977C7" w:rsidRDefault="00266DB1" w:rsidP="00B5279B">
      <w:pPr>
        <w:pStyle w:val="ListParagraph"/>
        <w:numPr>
          <w:ilvl w:val="0"/>
          <w:numId w:val="2"/>
        </w:numPr>
      </w:pPr>
      <w:r w:rsidRPr="00B977C7">
        <w:t>Q</w:t>
      </w:r>
      <w:r w:rsidR="009B6E2B" w:rsidRPr="00B977C7">
        <w:t xml:space="preserve">uestion </w:t>
      </w:r>
      <w:r w:rsidRPr="00B977C7">
        <w:t>2: the investment actively involves Disabled People’s Organisations in planning, implementation, and monitoring and evaluation.</w:t>
      </w:r>
    </w:p>
    <w:p w:rsidR="009B6E2B" w:rsidRPr="00B977C7" w:rsidRDefault="00EC02B8" w:rsidP="001170C5">
      <w:pPr>
        <w:spacing w:before="240" w:after="120"/>
        <w:rPr>
          <w:noProof/>
          <w:lang w:eastAsia="en-AU"/>
        </w:rPr>
      </w:pPr>
      <w:r>
        <w:t xml:space="preserve">The previous 5 years’ data on these questions shows the performance around disability inclusion is </w:t>
      </w:r>
      <w:r w:rsidRPr="00EC02B8">
        <w:rPr>
          <w:b/>
        </w:rPr>
        <w:t xml:space="preserve">very low in some sectors, only moderate even in the strongest sectors, and most pertinently, </w:t>
      </w:r>
      <w:r>
        <w:rPr>
          <w:b/>
        </w:rPr>
        <w:t>declining.</w:t>
      </w:r>
      <w:r w:rsidR="001170C5" w:rsidRPr="00B977C7">
        <w:t xml:space="preserve"> </w:t>
      </w:r>
      <w:r w:rsidR="00266DB1" w:rsidRPr="00B977C7">
        <w:t xml:space="preserve">While there have been a few increased in </w:t>
      </w:r>
      <w:r w:rsidR="00E405A2" w:rsidRPr="00B977C7">
        <w:t xml:space="preserve">the most recent </w:t>
      </w:r>
      <w:r w:rsidR="00767466" w:rsidRPr="00B977C7">
        <w:t xml:space="preserve">year’s </w:t>
      </w:r>
      <w:r w:rsidR="000033D1" w:rsidRPr="00B977C7">
        <w:t xml:space="preserve">results, </w:t>
      </w:r>
      <w:r w:rsidR="00767466" w:rsidRPr="00B977C7">
        <w:t xml:space="preserve">this report nonetheless </w:t>
      </w:r>
      <w:r w:rsidR="00266DB1" w:rsidRPr="00B977C7">
        <w:t xml:space="preserve">acknowledges that the percentage of investments rated satisfactory in 2018-19 for actively involving disabled peoples’ organisations (40 per cent) and identifying and addressing barriers to inclusion (45 per cent) were </w:t>
      </w:r>
      <w:r w:rsidR="00266DB1" w:rsidRPr="00B977C7">
        <w:rPr>
          <w:b/>
        </w:rPr>
        <w:t xml:space="preserve">below </w:t>
      </w:r>
      <w:r w:rsidR="00767466" w:rsidRPr="00B977C7">
        <w:rPr>
          <w:b/>
        </w:rPr>
        <w:t xml:space="preserve">the </w:t>
      </w:r>
      <w:r w:rsidR="00266DB1" w:rsidRPr="00B977C7">
        <w:rPr>
          <w:b/>
        </w:rPr>
        <w:t>whole of development program</w:t>
      </w:r>
      <w:r w:rsidR="001F2BBE" w:rsidRPr="00B977C7">
        <w:rPr>
          <w:b/>
        </w:rPr>
        <w:t>’s</w:t>
      </w:r>
      <w:r w:rsidR="00266DB1" w:rsidRPr="00B977C7">
        <w:rPr>
          <w:b/>
        </w:rPr>
        <w:t xml:space="preserve"> five year averages of 44 and 51 per cent respectively</w:t>
      </w:r>
      <w:r w:rsidR="00266DB1" w:rsidRPr="00B977C7">
        <w:t>.</w:t>
      </w:r>
      <w:r w:rsidR="005A7AF1" w:rsidRPr="00B977C7">
        <w:t xml:space="preserve">  This is clearly demonstrated in the </w:t>
      </w:r>
      <w:r w:rsidR="009B6E2B" w:rsidRPr="00B977C7">
        <w:t xml:space="preserve">following </w:t>
      </w:r>
      <w:r w:rsidR="005A7AF1" w:rsidRPr="00B977C7">
        <w:t>graphs:</w:t>
      </w:r>
      <w:r w:rsidR="009B6E2B" w:rsidRPr="00B977C7">
        <w:rPr>
          <w:noProof/>
          <w:lang w:eastAsia="en-AU"/>
        </w:rPr>
        <w:t xml:space="preserve"> </w:t>
      </w:r>
    </w:p>
    <w:p w:rsidR="009B6E2B" w:rsidRDefault="005808F5" w:rsidP="001170C5">
      <w:pPr>
        <w:spacing w:before="240" w:after="120"/>
        <w:rPr>
          <w:noProof/>
          <w:lang w:eastAsia="en-AU"/>
        </w:rPr>
      </w:pPr>
      <w:r>
        <w:rPr>
          <w:noProof/>
          <w:lang w:eastAsia="en-AU"/>
        </w:rPr>
        <w:lastRenderedPageBreak/>
        <w:drawing>
          <wp:inline distT="0" distB="0" distL="0" distR="0" wp14:anchorId="5835A6E3" wp14:editId="1D504662">
            <wp:extent cx="5374257" cy="2363638"/>
            <wp:effectExtent l="0" t="0" r="17145"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D6963" w:rsidRDefault="005808F5" w:rsidP="001170C5">
      <w:pPr>
        <w:spacing w:before="240" w:after="120"/>
      </w:pPr>
      <w:r>
        <w:rPr>
          <w:noProof/>
          <w:lang w:eastAsia="en-AU"/>
        </w:rPr>
        <w:drawing>
          <wp:inline distT="0" distB="0" distL="0" distR="0" wp14:anchorId="19F0065D" wp14:editId="2830D289">
            <wp:extent cx="5327374" cy="2409190"/>
            <wp:effectExtent l="0" t="0" r="6985" b="1016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43965" w:rsidRPr="009B6E2B" w:rsidRDefault="009B6E2B" w:rsidP="00DA3BC8">
      <w:pPr>
        <w:pStyle w:val="Heading1"/>
        <w:numPr>
          <w:ilvl w:val="0"/>
          <w:numId w:val="0"/>
        </w:numPr>
        <w:ind w:left="426"/>
      </w:pPr>
      <w:r>
        <w:rPr>
          <w:noProof/>
          <w:lang w:eastAsia="en-AU"/>
        </w:rPr>
        <w:drawing>
          <wp:anchor distT="0" distB="0" distL="114300" distR="114300" simplePos="0" relativeHeight="251659264" behindDoc="0" locked="0" layoutInCell="1" allowOverlap="1">
            <wp:simplePos x="0" y="0"/>
            <wp:positionH relativeFrom="margin">
              <wp:posOffset>3000207</wp:posOffset>
            </wp:positionH>
            <wp:positionV relativeFrom="paragraph">
              <wp:posOffset>165436</wp:posOffset>
            </wp:positionV>
            <wp:extent cx="2941955" cy="2830195"/>
            <wp:effectExtent l="0" t="0" r="10795" b="8255"/>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margin">
              <wp:posOffset>-535820</wp:posOffset>
            </wp:positionH>
            <wp:positionV relativeFrom="paragraph">
              <wp:posOffset>190727</wp:posOffset>
            </wp:positionV>
            <wp:extent cx="3013075" cy="2806700"/>
            <wp:effectExtent l="0" t="0" r="15875" b="1270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00C275A6">
        <w:br w:type="page"/>
      </w:r>
      <w:r>
        <w:lastRenderedPageBreak/>
        <w:t>2.</w:t>
      </w:r>
      <w:r w:rsidR="00A20BF7" w:rsidRPr="009B6E2B">
        <w:t xml:space="preserve"> </w:t>
      </w:r>
      <w:r w:rsidR="00552A3A" w:rsidRPr="009B6E2B">
        <w:t xml:space="preserve">Reduction in </w:t>
      </w:r>
      <w:r w:rsidR="00E43965" w:rsidRPr="009B6E2B">
        <w:t>DFAT’s central disability inclusion budget</w:t>
      </w:r>
      <w:r w:rsidR="00D90A91" w:rsidRPr="009B6E2B">
        <w:t xml:space="preserve"> allocation</w:t>
      </w:r>
    </w:p>
    <w:tbl>
      <w:tblPr>
        <w:tblW w:w="10490" w:type="dxa"/>
        <w:tblInd w:w="-719" w:type="dxa"/>
        <w:tblLayout w:type="fixed"/>
        <w:tblCellMar>
          <w:left w:w="0" w:type="dxa"/>
          <w:right w:w="0" w:type="dxa"/>
        </w:tblCellMar>
        <w:tblLook w:val="04A0" w:firstRow="1" w:lastRow="0" w:firstColumn="1" w:lastColumn="0" w:noHBand="0" w:noVBand="1"/>
      </w:tblPr>
      <w:tblGrid>
        <w:gridCol w:w="1843"/>
        <w:gridCol w:w="1441"/>
        <w:gridCol w:w="1441"/>
        <w:gridCol w:w="1441"/>
        <w:gridCol w:w="1441"/>
        <w:gridCol w:w="1441"/>
        <w:gridCol w:w="1442"/>
      </w:tblGrid>
      <w:tr w:rsidR="00154B6E" w:rsidRPr="001518D5" w:rsidTr="00154B6E">
        <w:trPr>
          <w:trHeight w:val="215"/>
          <w:tblHeader/>
        </w:trPr>
        <w:tc>
          <w:tcPr>
            <w:tcW w:w="1843"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rPr>
                <w:rFonts w:eastAsia="Times New Roman" w:cstheme="minorHAnsi"/>
                <w:sz w:val="22"/>
                <w:szCs w:val="22"/>
              </w:rPr>
            </w:pPr>
            <w:bookmarkStart w:id="0" w:name="Title_1" w:colFirst="0" w:colLast="0"/>
          </w:p>
        </w:tc>
        <w:tc>
          <w:tcPr>
            <w:tcW w:w="14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rPr>
                <w:rFonts w:eastAsiaTheme="minorHAnsi" w:cstheme="minorHAnsi"/>
                <w:b/>
                <w:color w:val="000000"/>
                <w:sz w:val="22"/>
                <w:szCs w:val="22"/>
                <w:lang w:eastAsia="en-AU"/>
              </w:rPr>
            </w:pPr>
            <w:r w:rsidRPr="001518D5">
              <w:rPr>
                <w:rFonts w:cstheme="minorHAnsi"/>
                <w:b/>
                <w:color w:val="000000"/>
                <w:sz w:val="22"/>
                <w:szCs w:val="22"/>
                <w:lang w:eastAsia="en-AU"/>
              </w:rPr>
              <w:t>2016/2017</w:t>
            </w:r>
          </w:p>
        </w:tc>
        <w:tc>
          <w:tcPr>
            <w:tcW w:w="14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rPr>
                <w:rFonts w:cstheme="minorHAnsi"/>
                <w:b/>
                <w:color w:val="000000"/>
                <w:sz w:val="22"/>
                <w:szCs w:val="22"/>
                <w:lang w:eastAsia="en-AU"/>
              </w:rPr>
            </w:pPr>
            <w:r w:rsidRPr="001518D5">
              <w:rPr>
                <w:rFonts w:cstheme="minorHAnsi"/>
                <w:b/>
                <w:color w:val="000000"/>
                <w:sz w:val="22"/>
                <w:szCs w:val="22"/>
                <w:lang w:eastAsia="en-AU"/>
              </w:rPr>
              <w:t>2017/18</w:t>
            </w:r>
          </w:p>
        </w:tc>
        <w:tc>
          <w:tcPr>
            <w:tcW w:w="14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rPr>
                <w:rFonts w:cstheme="minorHAnsi"/>
                <w:b/>
                <w:color w:val="000000"/>
                <w:sz w:val="22"/>
                <w:szCs w:val="22"/>
                <w:lang w:eastAsia="en-AU"/>
              </w:rPr>
            </w:pPr>
            <w:r w:rsidRPr="001518D5">
              <w:rPr>
                <w:rFonts w:cstheme="minorHAnsi"/>
                <w:b/>
                <w:color w:val="000000"/>
                <w:sz w:val="22"/>
                <w:szCs w:val="22"/>
                <w:lang w:eastAsia="en-AU"/>
              </w:rPr>
              <w:t>2018/19</w:t>
            </w:r>
          </w:p>
        </w:tc>
        <w:tc>
          <w:tcPr>
            <w:tcW w:w="14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rPr>
                <w:rFonts w:cstheme="minorHAnsi"/>
                <w:b/>
                <w:color w:val="000000"/>
                <w:sz w:val="22"/>
                <w:szCs w:val="22"/>
                <w:lang w:eastAsia="en-AU"/>
              </w:rPr>
            </w:pPr>
            <w:r w:rsidRPr="001518D5">
              <w:rPr>
                <w:rFonts w:cstheme="minorHAnsi"/>
                <w:b/>
                <w:color w:val="000000"/>
                <w:sz w:val="22"/>
                <w:szCs w:val="22"/>
                <w:lang w:eastAsia="en-AU"/>
              </w:rPr>
              <w:t>2019/2020</w:t>
            </w:r>
          </w:p>
        </w:tc>
        <w:tc>
          <w:tcPr>
            <w:tcW w:w="144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rPr>
                <w:rFonts w:cstheme="minorHAnsi"/>
                <w:b/>
                <w:color w:val="000000"/>
                <w:sz w:val="22"/>
                <w:szCs w:val="22"/>
                <w:lang w:eastAsia="en-AU"/>
              </w:rPr>
            </w:pPr>
            <w:r w:rsidRPr="001518D5">
              <w:rPr>
                <w:rFonts w:cstheme="minorHAnsi"/>
                <w:b/>
                <w:color w:val="000000"/>
                <w:sz w:val="22"/>
                <w:szCs w:val="22"/>
                <w:lang w:eastAsia="en-AU"/>
              </w:rPr>
              <w:t>2020/21</w:t>
            </w:r>
          </w:p>
        </w:tc>
        <w:tc>
          <w:tcPr>
            <w:tcW w:w="1442" w:type="dxa"/>
            <w:tcBorders>
              <w:top w:val="single" w:sz="8" w:space="0" w:color="auto"/>
              <w:left w:val="nil"/>
              <w:bottom w:val="single" w:sz="8" w:space="0" w:color="auto"/>
              <w:right w:val="single" w:sz="8" w:space="0" w:color="auto"/>
            </w:tcBorders>
          </w:tcPr>
          <w:p w:rsidR="00154B6E" w:rsidRPr="001518D5" w:rsidRDefault="00154B6E" w:rsidP="00B977C7">
            <w:pPr>
              <w:spacing w:line="240" w:lineRule="auto"/>
              <w:rPr>
                <w:rFonts w:cstheme="minorHAnsi"/>
                <w:b/>
                <w:color w:val="000000"/>
                <w:sz w:val="22"/>
                <w:szCs w:val="22"/>
                <w:lang w:eastAsia="en-AU"/>
              </w:rPr>
            </w:pPr>
            <w:r>
              <w:rPr>
                <w:rFonts w:cstheme="minorHAnsi"/>
                <w:b/>
                <w:color w:val="000000"/>
                <w:sz w:val="22"/>
                <w:szCs w:val="22"/>
                <w:lang w:eastAsia="en-AU"/>
              </w:rPr>
              <w:t>2021/22</w:t>
            </w:r>
          </w:p>
        </w:tc>
      </w:tr>
      <w:bookmarkEnd w:id="0"/>
      <w:tr w:rsidR="00154B6E" w:rsidRPr="001518D5" w:rsidTr="00154B6E">
        <w:trPr>
          <w:trHeight w:val="618"/>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4B6E" w:rsidRPr="00B977C7" w:rsidRDefault="00154B6E" w:rsidP="00154B6E">
            <w:pPr>
              <w:spacing w:line="240" w:lineRule="auto"/>
              <w:rPr>
                <w:rFonts w:cstheme="minorHAnsi"/>
                <w:b/>
                <w:color w:val="000000"/>
                <w:sz w:val="22"/>
                <w:szCs w:val="22"/>
                <w:lang w:eastAsia="en-AU"/>
              </w:rPr>
            </w:pPr>
            <w:r w:rsidRPr="00B977C7">
              <w:rPr>
                <w:rFonts w:cstheme="minorHAnsi"/>
                <w:b/>
                <w:color w:val="000000"/>
                <w:sz w:val="22"/>
                <w:szCs w:val="22"/>
                <w:lang w:eastAsia="en-AU"/>
              </w:rPr>
              <w:t>Disability inclusion central allocation</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154B6E">
            <w:pPr>
              <w:spacing w:line="240" w:lineRule="auto"/>
              <w:rPr>
                <w:rFonts w:cstheme="minorHAnsi"/>
                <w:color w:val="000000"/>
                <w:sz w:val="22"/>
                <w:szCs w:val="22"/>
                <w:lang w:eastAsia="en-AU"/>
              </w:rPr>
            </w:pPr>
            <w:r w:rsidRPr="001518D5">
              <w:rPr>
                <w:rFonts w:cstheme="minorHAnsi"/>
                <w:color w:val="000000"/>
                <w:sz w:val="22"/>
                <w:szCs w:val="22"/>
                <w:lang w:eastAsia="en-AU"/>
              </w:rPr>
              <w:t>$ 12,900,000</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154B6E">
            <w:pPr>
              <w:spacing w:line="240" w:lineRule="auto"/>
              <w:jc w:val="center"/>
              <w:rPr>
                <w:rFonts w:cstheme="minorHAnsi"/>
                <w:color w:val="000000"/>
                <w:sz w:val="22"/>
                <w:szCs w:val="22"/>
                <w:lang w:eastAsia="en-AU"/>
              </w:rPr>
            </w:pPr>
            <w:r w:rsidRPr="001518D5">
              <w:rPr>
                <w:rFonts w:cstheme="minorHAnsi"/>
                <w:color w:val="000000"/>
                <w:sz w:val="22"/>
                <w:szCs w:val="22"/>
                <w:lang w:eastAsia="en-AU"/>
              </w:rPr>
              <w:t>$ 12,900,000</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154B6E">
            <w:pPr>
              <w:spacing w:line="240" w:lineRule="auto"/>
              <w:jc w:val="center"/>
              <w:rPr>
                <w:rFonts w:cstheme="minorHAnsi"/>
                <w:color w:val="000000"/>
                <w:sz w:val="22"/>
                <w:szCs w:val="22"/>
                <w:lang w:eastAsia="en-AU"/>
              </w:rPr>
            </w:pPr>
            <w:r w:rsidRPr="001518D5">
              <w:rPr>
                <w:rFonts w:cstheme="minorHAnsi"/>
                <w:color w:val="000000"/>
                <w:sz w:val="22"/>
                <w:szCs w:val="22"/>
                <w:lang w:eastAsia="en-AU"/>
              </w:rPr>
              <w:t>$ 12,900,000</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154B6E">
            <w:pPr>
              <w:spacing w:line="240" w:lineRule="auto"/>
              <w:jc w:val="center"/>
              <w:rPr>
                <w:rFonts w:cstheme="minorHAnsi"/>
                <w:color w:val="000000"/>
                <w:sz w:val="22"/>
                <w:szCs w:val="22"/>
                <w:lang w:eastAsia="en-AU"/>
              </w:rPr>
            </w:pPr>
            <w:r w:rsidRPr="001518D5">
              <w:rPr>
                <w:rFonts w:cstheme="minorHAnsi"/>
                <w:color w:val="000000"/>
                <w:sz w:val="22"/>
                <w:szCs w:val="22"/>
                <w:lang w:eastAsia="en-AU"/>
              </w:rPr>
              <w:t>$ 12,900,000</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154B6E">
            <w:pPr>
              <w:spacing w:line="240" w:lineRule="auto"/>
              <w:jc w:val="center"/>
              <w:rPr>
                <w:rFonts w:cstheme="minorHAnsi"/>
                <w:color w:val="000000"/>
                <w:sz w:val="22"/>
                <w:szCs w:val="22"/>
                <w:lang w:eastAsia="en-AU"/>
              </w:rPr>
            </w:pPr>
            <w:r w:rsidRPr="001518D5">
              <w:rPr>
                <w:rFonts w:cstheme="minorHAnsi"/>
                <w:color w:val="000000"/>
                <w:sz w:val="22"/>
                <w:szCs w:val="22"/>
                <w:lang w:eastAsia="en-AU"/>
              </w:rPr>
              <w:t>$ 9,600,000</w:t>
            </w:r>
          </w:p>
        </w:tc>
        <w:tc>
          <w:tcPr>
            <w:tcW w:w="1442" w:type="dxa"/>
            <w:tcBorders>
              <w:top w:val="nil"/>
              <w:left w:val="nil"/>
              <w:bottom w:val="single" w:sz="8" w:space="0" w:color="auto"/>
              <w:right w:val="single" w:sz="8" w:space="0" w:color="auto"/>
            </w:tcBorders>
          </w:tcPr>
          <w:p w:rsidR="00154B6E" w:rsidRDefault="00154B6E" w:rsidP="00154B6E">
            <w:pPr>
              <w:spacing w:line="240" w:lineRule="auto"/>
              <w:jc w:val="center"/>
              <w:rPr>
                <w:rFonts w:cstheme="minorHAnsi"/>
                <w:color w:val="000000"/>
                <w:sz w:val="22"/>
                <w:szCs w:val="22"/>
                <w:lang w:eastAsia="en-AU"/>
              </w:rPr>
            </w:pPr>
          </w:p>
          <w:p w:rsidR="00DA3BC8" w:rsidRDefault="00DA3BC8" w:rsidP="00154B6E">
            <w:pPr>
              <w:spacing w:line="240" w:lineRule="auto"/>
              <w:jc w:val="center"/>
              <w:rPr>
                <w:rFonts w:cstheme="minorHAnsi"/>
                <w:color w:val="000000"/>
                <w:sz w:val="22"/>
                <w:szCs w:val="22"/>
                <w:lang w:eastAsia="en-AU"/>
              </w:rPr>
            </w:pPr>
          </w:p>
          <w:p w:rsidR="00154B6E" w:rsidRPr="001518D5" w:rsidRDefault="00154B6E" w:rsidP="00154B6E">
            <w:pPr>
              <w:spacing w:line="240" w:lineRule="auto"/>
              <w:jc w:val="center"/>
              <w:rPr>
                <w:rFonts w:cstheme="minorHAnsi"/>
                <w:color w:val="000000"/>
                <w:sz w:val="22"/>
                <w:szCs w:val="22"/>
                <w:lang w:eastAsia="en-AU"/>
              </w:rPr>
            </w:pPr>
            <w:r w:rsidRPr="00154B6E">
              <w:rPr>
                <w:rFonts w:cstheme="minorHAnsi"/>
                <w:color w:val="000000"/>
                <w:sz w:val="22"/>
                <w:szCs w:val="22"/>
                <w:lang w:eastAsia="en-AU"/>
              </w:rPr>
              <w:t>$ 9,600,000</w:t>
            </w:r>
          </w:p>
        </w:tc>
      </w:tr>
      <w:tr w:rsidR="00154B6E" w:rsidRPr="001518D5" w:rsidTr="00154B6E">
        <w:trPr>
          <w:trHeight w:val="576"/>
        </w:trPr>
        <w:tc>
          <w:tcPr>
            <w:tcW w:w="184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154B6E" w:rsidRPr="00B977C7" w:rsidRDefault="00154B6E" w:rsidP="00B977C7">
            <w:pPr>
              <w:spacing w:line="240" w:lineRule="auto"/>
              <w:rPr>
                <w:rFonts w:cstheme="minorHAnsi"/>
                <w:b/>
                <w:color w:val="000000"/>
                <w:sz w:val="22"/>
                <w:szCs w:val="22"/>
                <w:lang w:eastAsia="en-AU"/>
              </w:rPr>
            </w:pPr>
            <w:r w:rsidRPr="00B977C7">
              <w:rPr>
                <w:rFonts w:cstheme="minorHAnsi"/>
                <w:b/>
                <w:color w:val="000000"/>
                <w:sz w:val="22"/>
                <w:szCs w:val="22"/>
                <w:lang w:eastAsia="en-AU"/>
              </w:rPr>
              <w:t xml:space="preserve">% of total ODA </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jc w:val="right"/>
              <w:rPr>
                <w:rFonts w:cstheme="minorHAnsi"/>
                <w:color w:val="000000"/>
                <w:sz w:val="22"/>
                <w:szCs w:val="22"/>
                <w:lang w:eastAsia="en-AU"/>
              </w:rPr>
            </w:pPr>
            <w:r w:rsidRPr="001518D5">
              <w:rPr>
                <w:rFonts w:cstheme="minorHAnsi"/>
                <w:color w:val="000000"/>
                <w:sz w:val="22"/>
                <w:szCs w:val="22"/>
                <w:lang w:eastAsia="en-AU"/>
              </w:rPr>
              <w:t>0.32%</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jc w:val="right"/>
              <w:rPr>
                <w:rFonts w:cstheme="minorHAnsi"/>
                <w:color w:val="000000"/>
                <w:sz w:val="22"/>
                <w:szCs w:val="22"/>
                <w:lang w:eastAsia="en-AU"/>
              </w:rPr>
            </w:pPr>
            <w:r w:rsidRPr="001518D5">
              <w:rPr>
                <w:rFonts w:cstheme="minorHAnsi"/>
                <w:color w:val="000000"/>
                <w:sz w:val="22"/>
                <w:szCs w:val="22"/>
                <w:lang w:eastAsia="en-AU"/>
              </w:rPr>
              <w:t>0.32%</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jc w:val="right"/>
              <w:rPr>
                <w:rFonts w:cstheme="minorHAnsi"/>
                <w:color w:val="000000"/>
                <w:sz w:val="22"/>
                <w:szCs w:val="22"/>
                <w:lang w:eastAsia="en-AU"/>
              </w:rPr>
            </w:pPr>
            <w:r w:rsidRPr="001518D5">
              <w:rPr>
                <w:rFonts w:cstheme="minorHAnsi"/>
                <w:color w:val="000000"/>
                <w:sz w:val="22"/>
                <w:szCs w:val="22"/>
                <w:lang w:eastAsia="en-AU"/>
              </w:rPr>
              <w:t>0.29%</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jc w:val="right"/>
              <w:rPr>
                <w:rFonts w:cstheme="minorHAnsi"/>
                <w:color w:val="000000"/>
                <w:sz w:val="22"/>
                <w:szCs w:val="22"/>
                <w:lang w:eastAsia="en-AU"/>
              </w:rPr>
            </w:pPr>
            <w:r w:rsidRPr="001518D5">
              <w:rPr>
                <w:rFonts w:cstheme="minorHAnsi"/>
                <w:color w:val="000000"/>
                <w:sz w:val="22"/>
                <w:szCs w:val="22"/>
                <w:lang w:eastAsia="en-AU"/>
              </w:rPr>
              <w:t>0.32%</w:t>
            </w:r>
          </w:p>
        </w:tc>
        <w:tc>
          <w:tcPr>
            <w:tcW w:w="144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154B6E" w:rsidRPr="001518D5" w:rsidRDefault="00154B6E" w:rsidP="00B977C7">
            <w:pPr>
              <w:spacing w:line="240" w:lineRule="auto"/>
              <w:jc w:val="right"/>
              <w:rPr>
                <w:rFonts w:cstheme="minorHAnsi"/>
                <w:color w:val="000000"/>
                <w:sz w:val="22"/>
                <w:szCs w:val="22"/>
                <w:lang w:eastAsia="en-AU"/>
              </w:rPr>
            </w:pPr>
            <w:r w:rsidRPr="001518D5">
              <w:rPr>
                <w:rFonts w:cstheme="minorHAnsi"/>
                <w:color w:val="000000"/>
                <w:sz w:val="22"/>
                <w:szCs w:val="22"/>
                <w:lang w:eastAsia="en-AU"/>
              </w:rPr>
              <w:t>0.24%</w:t>
            </w:r>
          </w:p>
        </w:tc>
        <w:tc>
          <w:tcPr>
            <w:tcW w:w="1442" w:type="dxa"/>
            <w:tcBorders>
              <w:top w:val="nil"/>
              <w:left w:val="nil"/>
              <w:bottom w:val="single" w:sz="8" w:space="0" w:color="auto"/>
              <w:right w:val="single" w:sz="8" w:space="0" w:color="auto"/>
            </w:tcBorders>
          </w:tcPr>
          <w:p w:rsidR="00DA3BC8" w:rsidRDefault="00DA3BC8" w:rsidP="00154B6E">
            <w:pPr>
              <w:spacing w:line="240" w:lineRule="auto"/>
              <w:rPr>
                <w:rFonts w:cstheme="minorHAnsi"/>
                <w:color w:val="000000"/>
                <w:sz w:val="22"/>
                <w:szCs w:val="22"/>
                <w:lang w:eastAsia="en-AU"/>
              </w:rPr>
            </w:pPr>
          </w:p>
          <w:p w:rsidR="00154B6E" w:rsidRPr="001518D5" w:rsidRDefault="00DA3BC8" w:rsidP="00154B6E">
            <w:pPr>
              <w:spacing w:line="240" w:lineRule="auto"/>
              <w:rPr>
                <w:rFonts w:cstheme="minorHAnsi"/>
                <w:color w:val="000000"/>
                <w:sz w:val="22"/>
                <w:szCs w:val="22"/>
                <w:lang w:eastAsia="en-AU"/>
              </w:rPr>
            </w:pPr>
            <w:r>
              <w:rPr>
                <w:rFonts w:cstheme="minorHAnsi"/>
                <w:color w:val="000000"/>
                <w:sz w:val="22"/>
                <w:szCs w:val="22"/>
                <w:lang w:eastAsia="en-AU"/>
              </w:rPr>
              <w:t xml:space="preserve">            </w:t>
            </w:r>
            <w:r w:rsidR="00154B6E">
              <w:rPr>
                <w:rFonts w:cstheme="minorHAnsi"/>
                <w:color w:val="000000"/>
                <w:sz w:val="22"/>
                <w:szCs w:val="22"/>
                <w:lang w:eastAsia="en-AU"/>
              </w:rPr>
              <w:t>0.22%</w:t>
            </w:r>
          </w:p>
        </w:tc>
      </w:tr>
    </w:tbl>
    <w:p w:rsidR="001518D5" w:rsidRDefault="001518D5" w:rsidP="00767466">
      <w:pPr>
        <w:autoSpaceDE w:val="0"/>
        <w:autoSpaceDN w:val="0"/>
        <w:spacing w:after="0" w:line="240" w:lineRule="auto"/>
        <w:jc w:val="both"/>
        <w:rPr>
          <w:rFonts w:cstheme="minorHAnsi"/>
        </w:rPr>
      </w:pPr>
    </w:p>
    <w:p w:rsidR="00DA3BC8" w:rsidRDefault="001518D5" w:rsidP="002A1116">
      <w:pPr>
        <w:autoSpaceDE w:val="0"/>
        <w:autoSpaceDN w:val="0"/>
        <w:spacing w:line="240" w:lineRule="auto"/>
        <w:jc w:val="both"/>
        <w:rPr>
          <w:rFonts w:cstheme="minorHAnsi"/>
        </w:rPr>
      </w:pPr>
      <w:r>
        <w:rPr>
          <w:rFonts w:cstheme="minorHAnsi"/>
        </w:rPr>
        <w:t>A</w:t>
      </w:r>
      <w:r w:rsidR="0089226B">
        <w:rPr>
          <w:rFonts w:cstheme="minorHAnsi"/>
        </w:rPr>
        <w:t>s this</w:t>
      </w:r>
      <w:r w:rsidR="00767466">
        <w:rPr>
          <w:rFonts w:cstheme="minorHAnsi"/>
        </w:rPr>
        <w:t xml:space="preserve"> table</w:t>
      </w:r>
      <w:r w:rsidR="0089226B">
        <w:rPr>
          <w:rFonts w:cstheme="minorHAnsi"/>
        </w:rPr>
        <w:t xml:space="preserve"> reflects, </w:t>
      </w:r>
      <w:r w:rsidR="00767466">
        <w:rPr>
          <w:rFonts w:cstheme="minorHAnsi"/>
          <w:b/>
        </w:rPr>
        <w:t xml:space="preserve">DFAT’s </w:t>
      </w:r>
      <w:r w:rsidR="00E405A2" w:rsidRPr="00767466">
        <w:rPr>
          <w:rFonts w:cstheme="minorHAnsi"/>
          <w:b/>
        </w:rPr>
        <w:t xml:space="preserve">central disability allocation </w:t>
      </w:r>
      <w:r w:rsidR="00767466" w:rsidRPr="00767466">
        <w:rPr>
          <w:rFonts w:cstheme="minorHAnsi"/>
          <w:b/>
        </w:rPr>
        <w:t>was</w:t>
      </w:r>
      <w:r w:rsidR="00767466">
        <w:rPr>
          <w:rFonts w:cstheme="minorHAnsi"/>
        </w:rPr>
        <w:t xml:space="preserve"> </w:t>
      </w:r>
      <w:r w:rsidR="001B6B67" w:rsidRPr="00767466">
        <w:rPr>
          <w:rFonts w:cstheme="minorHAnsi"/>
          <w:b/>
        </w:rPr>
        <w:t xml:space="preserve">significantly </w:t>
      </w:r>
      <w:r w:rsidR="002A1116">
        <w:rPr>
          <w:rFonts w:cstheme="minorHAnsi"/>
          <w:b/>
        </w:rPr>
        <w:t>cut in the 2020 Federal B</w:t>
      </w:r>
      <w:r w:rsidR="00E405A2" w:rsidRPr="00767466">
        <w:rPr>
          <w:rFonts w:cstheme="minorHAnsi"/>
          <w:b/>
        </w:rPr>
        <w:t>udget by 25 per cent</w:t>
      </w:r>
      <w:r w:rsidR="00DA3BC8">
        <w:rPr>
          <w:rFonts w:cstheme="minorHAnsi"/>
          <w:b/>
        </w:rPr>
        <w:t xml:space="preserve"> and the cu</w:t>
      </w:r>
      <w:r w:rsidR="002A1116">
        <w:rPr>
          <w:rFonts w:cstheme="minorHAnsi"/>
          <w:b/>
        </w:rPr>
        <w:t>t was maintained in the 2021 Federal</w:t>
      </w:r>
      <w:r w:rsidR="00DA3BC8">
        <w:rPr>
          <w:rFonts w:cstheme="minorHAnsi"/>
          <w:b/>
        </w:rPr>
        <w:t xml:space="preserve"> Budget. The allocation</w:t>
      </w:r>
      <w:r w:rsidR="002A1116">
        <w:rPr>
          <w:rFonts w:cstheme="minorHAnsi"/>
          <w:b/>
        </w:rPr>
        <w:t xml:space="preserve"> is now</w:t>
      </w:r>
      <w:r>
        <w:rPr>
          <w:rFonts w:cstheme="minorHAnsi"/>
          <w:b/>
        </w:rPr>
        <w:t xml:space="preserve"> a significantly lower proportion of the total ODA budget than any other level for the past 5 years</w:t>
      </w:r>
      <w:r w:rsidR="00E405A2" w:rsidRPr="001B6B67">
        <w:rPr>
          <w:rFonts w:cstheme="minorHAnsi"/>
        </w:rPr>
        <w:t xml:space="preserve">. </w:t>
      </w:r>
    </w:p>
    <w:p w:rsidR="00287ED8" w:rsidRDefault="00287ED8" w:rsidP="002A1116">
      <w:pPr>
        <w:autoSpaceDE w:val="0"/>
        <w:autoSpaceDN w:val="0"/>
        <w:spacing w:after="0" w:line="240" w:lineRule="auto"/>
        <w:jc w:val="both"/>
        <w:rPr>
          <w:rFonts w:ascii="Calibri" w:hAnsi="Calibri"/>
        </w:rPr>
      </w:pPr>
      <w:r>
        <w:rPr>
          <w:rStyle w:val="normaltextrun"/>
          <w:rFonts w:ascii="Calibri" w:hAnsi="Calibri" w:cs="Calibri"/>
        </w:rPr>
        <w:t>For many years</w:t>
      </w:r>
      <w:r w:rsidR="0089226B">
        <w:rPr>
          <w:rStyle w:val="normaltextrun"/>
          <w:rFonts w:ascii="Calibri" w:hAnsi="Calibri" w:cs="Calibri"/>
        </w:rPr>
        <w:t xml:space="preserve"> prior to this</w:t>
      </w:r>
      <w:r>
        <w:rPr>
          <w:rStyle w:val="normaltextrun"/>
          <w:rFonts w:ascii="Calibri" w:hAnsi="Calibri" w:cs="Calibri"/>
        </w:rPr>
        <w:t xml:space="preserve">, DFAT’s disability inclusive development work </w:t>
      </w:r>
      <w:r w:rsidR="00767466">
        <w:rPr>
          <w:rStyle w:val="normaltextrun"/>
          <w:rFonts w:ascii="Calibri" w:hAnsi="Calibri" w:cs="Calibri"/>
        </w:rPr>
        <w:t>had</w:t>
      </w:r>
      <w:r>
        <w:rPr>
          <w:rStyle w:val="normaltextrun"/>
          <w:rFonts w:ascii="Calibri" w:hAnsi="Calibri" w:cs="Calibri"/>
        </w:rPr>
        <w:t xml:space="preserve"> been allocated a modest budget, with which it has achieved much. The </w:t>
      </w:r>
      <w:r w:rsidR="00767466">
        <w:rPr>
          <w:rStyle w:val="normaltextrun"/>
          <w:rFonts w:ascii="Calibri" w:hAnsi="Calibri" w:cs="Calibri"/>
        </w:rPr>
        <w:t>achievements are captured in reviews of this work,</w:t>
      </w:r>
      <w:r>
        <w:rPr>
          <w:rStyle w:val="FootnoteReference"/>
          <w:i/>
        </w:rPr>
        <w:footnoteReference w:id="1"/>
      </w:r>
      <w:r>
        <w:rPr>
          <w:rFonts w:ascii="Calibri" w:hAnsi="Calibri"/>
        </w:rPr>
        <w:t xml:space="preserve"> </w:t>
      </w:r>
      <w:r w:rsidR="00767466">
        <w:rPr>
          <w:rFonts w:ascii="Calibri" w:hAnsi="Calibri"/>
        </w:rPr>
        <w:t xml:space="preserve">which </w:t>
      </w:r>
      <w:r>
        <w:rPr>
          <w:rFonts w:ascii="Calibri" w:hAnsi="Calibri"/>
        </w:rPr>
        <w:t>speak to the importance of dedicated and sufficient resourcing to support disability inclusion throughout Australi</w:t>
      </w:r>
      <w:r w:rsidR="00DA3BC8">
        <w:rPr>
          <w:rFonts w:ascii="Calibri" w:hAnsi="Calibri"/>
        </w:rPr>
        <w:t xml:space="preserve">a’s overseas development work. </w:t>
      </w:r>
      <w:r>
        <w:rPr>
          <w:rFonts w:ascii="Calibri" w:hAnsi="Calibri"/>
        </w:rPr>
        <w:t xml:space="preserve">We note the </w:t>
      </w:r>
      <w:r w:rsidR="00767466">
        <w:rPr>
          <w:rFonts w:ascii="Calibri" w:hAnsi="Calibri"/>
        </w:rPr>
        <w:t xml:space="preserve">Office of Development Effectiveness’ </w:t>
      </w:r>
      <w:r>
        <w:rPr>
          <w:rFonts w:ascii="Calibri" w:hAnsi="Calibri"/>
        </w:rPr>
        <w:t xml:space="preserve">caution that </w:t>
      </w:r>
      <w:r w:rsidRPr="00767466">
        <w:rPr>
          <w:rFonts w:ascii="Calibri" w:hAnsi="Calibri"/>
          <w:b/>
        </w:rPr>
        <w:t>ongoing investment in this area is required to secure Australia’s hard-won wins and strong standing in disability inclusive development</w:t>
      </w:r>
      <w:r>
        <w:rPr>
          <w:rFonts w:ascii="Calibri" w:hAnsi="Calibri"/>
        </w:rPr>
        <w:t xml:space="preserve">.  Indeed, the downward trend in performance against the disability inclusion Aid Quality Checks </w:t>
      </w:r>
      <w:r w:rsidR="00767466">
        <w:rPr>
          <w:rFonts w:ascii="Calibri" w:hAnsi="Calibri"/>
        </w:rPr>
        <w:t xml:space="preserve">(discussed above) </w:t>
      </w:r>
      <w:r>
        <w:rPr>
          <w:rFonts w:ascii="Calibri" w:hAnsi="Calibri"/>
        </w:rPr>
        <w:t>indicate</w:t>
      </w:r>
      <w:r w:rsidR="00767466">
        <w:rPr>
          <w:rFonts w:ascii="Calibri" w:hAnsi="Calibri"/>
        </w:rPr>
        <w:t>s</w:t>
      </w:r>
      <w:r>
        <w:rPr>
          <w:rFonts w:ascii="Calibri" w:hAnsi="Calibri"/>
        </w:rPr>
        <w:t xml:space="preserve"> the need for</w:t>
      </w:r>
      <w:r w:rsidR="00767466">
        <w:rPr>
          <w:rFonts w:ascii="Calibri" w:hAnsi="Calibri"/>
        </w:rPr>
        <w:t xml:space="preserve"> sustained and ongoing foundational funding to this work.</w:t>
      </w:r>
    </w:p>
    <w:p w:rsidR="00287ED8" w:rsidRDefault="00287ED8" w:rsidP="002A1116">
      <w:pPr>
        <w:snapToGrid w:val="0"/>
        <w:spacing w:before="120" w:after="120" w:line="240" w:lineRule="auto"/>
        <w:jc w:val="both"/>
        <w:rPr>
          <w:rStyle w:val="normaltextrun"/>
          <w:rFonts w:ascii="Calibri" w:hAnsi="Calibri" w:cs="Calibri"/>
        </w:rPr>
      </w:pPr>
      <w:r>
        <w:rPr>
          <w:rFonts w:ascii="Calibri" w:hAnsi="Calibri"/>
        </w:rPr>
        <w:t>I</w:t>
      </w:r>
      <w:r>
        <w:rPr>
          <w:rStyle w:val="normaltextrun"/>
          <w:rFonts w:ascii="Calibri" w:hAnsi="Calibri" w:cs="Calibri"/>
        </w:rPr>
        <w:t xml:space="preserve">n these circumstances, </w:t>
      </w:r>
      <w:r w:rsidR="0089226B">
        <w:rPr>
          <w:rStyle w:val="normaltextrun"/>
          <w:rFonts w:ascii="Calibri" w:hAnsi="Calibri" w:cs="Calibri"/>
        </w:rPr>
        <w:t>we are deeply concerned that the substantial cut</w:t>
      </w:r>
      <w:r w:rsidR="00DA3BC8">
        <w:rPr>
          <w:rStyle w:val="normaltextrun"/>
          <w:rFonts w:ascii="Calibri" w:hAnsi="Calibri" w:cs="Calibri"/>
        </w:rPr>
        <w:t xml:space="preserve"> that was maintained in the 2021 Federal Budget</w:t>
      </w:r>
      <w:r>
        <w:rPr>
          <w:rStyle w:val="normaltextrun"/>
          <w:rFonts w:ascii="Calibri" w:hAnsi="Calibri" w:cs="Calibri"/>
        </w:rPr>
        <w:t xml:space="preserve"> will have grave effects on DFAT’s capacity to continue its current work, capacity building and partnerships in relation to disability inclusive development.  </w:t>
      </w:r>
      <w:r w:rsidR="0089226B">
        <w:rPr>
          <w:rStyle w:val="normaltextrun"/>
          <w:rFonts w:ascii="Calibri" w:hAnsi="Calibri" w:cs="Calibri"/>
        </w:rPr>
        <w:t xml:space="preserve">Given the foundational nature of this work, </w:t>
      </w:r>
      <w:r>
        <w:rPr>
          <w:rStyle w:val="normaltextrun"/>
          <w:rFonts w:ascii="Calibri" w:hAnsi="Calibri" w:cs="Calibri"/>
        </w:rPr>
        <w:t xml:space="preserve">these cuts cannot be seen to be compensated through </w:t>
      </w:r>
      <w:r w:rsidR="0089226B">
        <w:rPr>
          <w:rStyle w:val="normaltextrun"/>
          <w:rFonts w:ascii="Calibri" w:hAnsi="Calibri" w:cs="Calibri"/>
        </w:rPr>
        <w:t xml:space="preserve">any </w:t>
      </w:r>
      <w:r>
        <w:rPr>
          <w:rStyle w:val="normaltextrun"/>
          <w:rFonts w:ascii="Calibri" w:hAnsi="Calibri" w:cs="Calibri"/>
        </w:rPr>
        <w:t>funding to disability in COVID Country Response Plans</w:t>
      </w:r>
      <w:r w:rsidR="0089226B">
        <w:rPr>
          <w:rStyle w:val="normaltextrun"/>
          <w:rFonts w:ascii="Calibri" w:hAnsi="Calibri" w:cs="Calibri"/>
        </w:rPr>
        <w:t xml:space="preserve"> or DFAT’s budget for disability-related programm</w:t>
      </w:r>
      <w:r w:rsidR="00DA3BC8">
        <w:rPr>
          <w:rStyle w:val="normaltextrun"/>
          <w:rFonts w:ascii="Calibri" w:hAnsi="Calibri" w:cs="Calibri"/>
        </w:rPr>
        <w:t xml:space="preserve">ing (discussed further below). </w:t>
      </w:r>
      <w:r w:rsidRPr="00DA3BC8">
        <w:rPr>
          <w:rStyle w:val="normaltextrun"/>
          <w:rFonts w:ascii="Calibri" w:hAnsi="Calibri" w:cs="Calibri"/>
          <w:b/>
        </w:rPr>
        <w:t xml:space="preserve">While Australia’s </w:t>
      </w:r>
      <w:r w:rsidR="0089226B" w:rsidRPr="00DA3BC8">
        <w:rPr>
          <w:rStyle w:val="normaltextrun"/>
          <w:rFonts w:ascii="Calibri" w:hAnsi="Calibri" w:cs="Calibri"/>
          <w:b/>
        </w:rPr>
        <w:t xml:space="preserve">ODA and </w:t>
      </w:r>
      <w:r w:rsidRPr="00DA3BC8">
        <w:rPr>
          <w:rStyle w:val="normaltextrun"/>
          <w:rFonts w:ascii="Calibri" w:hAnsi="Calibri" w:cs="Calibri"/>
          <w:b/>
        </w:rPr>
        <w:t>COVID-19 response and recovery programming must be</w:t>
      </w:r>
      <w:r w:rsidR="00767466" w:rsidRPr="00DA3BC8">
        <w:rPr>
          <w:rStyle w:val="normaltextrun"/>
          <w:rFonts w:ascii="Calibri" w:hAnsi="Calibri" w:cs="Calibri"/>
          <w:b/>
        </w:rPr>
        <w:t xml:space="preserve"> resourced to be</w:t>
      </w:r>
      <w:r w:rsidRPr="00DA3BC8">
        <w:rPr>
          <w:rStyle w:val="normaltextrun"/>
          <w:rFonts w:ascii="Calibri" w:hAnsi="Calibri" w:cs="Calibri"/>
          <w:b/>
        </w:rPr>
        <w:t xml:space="preserve"> disability-inclusive, funding for this should not come at the expense of DFAT’s core, capacity building disability inclusion work.</w:t>
      </w:r>
    </w:p>
    <w:p w:rsidR="00960B3E" w:rsidRPr="00B977C7" w:rsidRDefault="00552A3A" w:rsidP="00B977C7">
      <w:pPr>
        <w:pStyle w:val="Heading1"/>
      </w:pPr>
      <w:r w:rsidRPr="00B977C7">
        <w:t xml:space="preserve">Reduction in </w:t>
      </w:r>
      <w:r w:rsidR="00960B3E" w:rsidRPr="00B977C7">
        <w:t>DFAT’s disability</w:t>
      </w:r>
      <w:r w:rsidR="002B1D98" w:rsidRPr="00B977C7">
        <w:t xml:space="preserve"> inclusion </w:t>
      </w:r>
      <w:r w:rsidR="00960B3E" w:rsidRPr="00B977C7">
        <w:t>programming</w:t>
      </w:r>
      <w:r w:rsidR="002B1D98" w:rsidRPr="00B977C7">
        <w:t xml:space="preserve"> budget</w:t>
      </w:r>
    </w:p>
    <w:tbl>
      <w:tblPr>
        <w:tblStyle w:val="TableGrid"/>
        <w:tblW w:w="8926" w:type="dxa"/>
        <w:jc w:val="center"/>
        <w:tblLook w:val="04A0" w:firstRow="1" w:lastRow="0" w:firstColumn="1" w:lastColumn="0" w:noHBand="0" w:noVBand="1"/>
      </w:tblPr>
      <w:tblGrid>
        <w:gridCol w:w="1203"/>
        <w:gridCol w:w="1211"/>
        <w:gridCol w:w="1276"/>
        <w:gridCol w:w="1276"/>
        <w:gridCol w:w="1275"/>
        <w:gridCol w:w="1418"/>
        <w:gridCol w:w="1267"/>
      </w:tblGrid>
      <w:tr w:rsidR="003B5B5D" w:rsidRPr="00490922" w:rsidTr="00CB7426">
        <w:trPr>
          <w:trHeight w:val="285"/>
          <w:tblHeader/>
          <w:jc w:val="center"/>
        </w:trPr>
        <w:tc>
          <w:tcPr>
            <w:tcW w:w="8926" w:type="dxa"/>
            <w:gridSpan w:val="7"/>
            <w:noWrap/>
          </w:tcPr>
          <w:p w:rsidR="003B5B5D" w:rsidRPr="002B1D98" w:rsidRDefault="003B5B5D" w:rsidP="00960B3E">
            <w:pPr>
              <w:spacing w:line="240" w:lineRule="auto"/>
              <w:jc w:val="center"/>
              <w:rPr>
                <w:rFonts w:eastAsia="Times New Roman" w:cstheme="minorHAnsi"/>
                <w:b/>
                <w:color w:val="000000"/>
                <w:sz w:val="22"/>
                <w:szCs w:val="22"/>
                <w:lang w:eastAsia="en-AU"/>
              </w:rPr>
            </w:pPr>
            <w:bookmarkStart w:id="1" w:name="ColumnTitle_2" w:colFirst="0" w:colLast="0"/>
            <w:r w:rsidRPr="002B1D98">
              <w:rPr>
                <w:rFonts w:eastAsia="Times New Roman" w:cstheme="minorHAnsi"/>
                <w:b/>
                <w:color w:val="000000"/>
                <w:sz w:val="22"/>
                <w:szCs w:val="22"/>
                <w:lang w:eastAsia="en-AU"/>
              </w:rPr>
              <w:t xml:space="preserve">Total </w:t>
            </w:r>
            <w:r>
              <w:rPr>
                <w:rFonts w:eastAsia="Times New Roman" w:cstheme="minorHAnsi"/>
                <w:b/>
                <w:color w:val="000000"/>
                <w:sz w:val="22"/>
                <w:szCs w:val="22"/>
                <w:lang w:eastAsia="en-AU"/>
              </w:rPr>
              <w:t xml:space="preserve">DFAT </w:t>
            </w:r>
            <w:r w:rsidRPr="002B1D98">
              <w:rPr>
                <w:rFonts w:eastAsia="Times New Roman" w:cstheme="minorHAnsi"/>
                <w:b/>
                <w:color w:val="000000"/>
                <w:sz w:val="22"/>
                <w:szCs w:val="22"/>
                <w:lang w:eastAsia="en-AU"/>
              </w:rPr>
              <w:t>spend programs with 'some level of assistance to disabled persons' *</w:t>
            </w:r>
          </w:p>
        </w:tc>
      </w:tr>
      <w:bookmarkEnd w:id="1"/>
      <w:tr w:rsidR="003B5B5D" w:rsidRPr="003B5B5D" w:rsidTr="003B5B5D">
        <w:trPr>
          <w:trHeight w:val="285"/>
          <w:jc w:val="center"/>
        </w:trPr>
        <w:tc>
          <w:tcPr>
            <w:tcW w:w="1194" w:type="dxa"/>
            <w:noWrap/>
            <w:hideMark/>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2013/2014</w:t>
            </w:r>
          </w:p>
        </w:tc>
        <w:tc>
          <w:tcPr>
            <w:tcW w:w="1211" w:type="dxa"/>
            <w:noWrap/>
            <w:hideMark/>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2014/2015</w:t>
            </w:r>
          </w:p>
        </w:tc>
        <w:tc>
          <w:tcPr>
            <w:tcW w:w="1276" w:type="dxa"/>
            <w:noWrap/>
            <w:hideMark/>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2015/2016</w:t>
            </w:r>
          </w:p>
        </w:tc>
        <w:tc>
          <w:tcPr>
            <w:tcW w:w="1276" w:type="dxa"/>
            <w:noWrap/>
            <w:hideMark/>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2016/2017</w:t>
            </w:r>
          </w:p>
        </w:tc>
        <w:tc>
          <w:tcPr>
            <w:tcW w:w="1275" w:type="dxa"/>
            <w:noWrap/>
            <w:hideMark/>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2017/18</w:t>
            </w:r>
          </w:p>
        </w:tc>
        <w:tc>
          <w:tcPr>
            <w:tcW w:w="1418" w:type="dxa"/>
            <w:noWrap/>
            <w:hideMark/>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2018/19</w:t>
            </w:r>
          </w:p>
        </w:tc>
        <w:tc>
          <w:tcPr>
            <w:tcW w:w="1276" w:type="dxa"/>
          </w:tcPr>
          <w:p w:rsidR="003B5B5D" w:rsidRPr="003B5B5D" w:rsidRDefault="003B5B5D" w:rsidP="00960B3E">
            <w:pPr>
              <w:spacing w:line="240" w:lineRule="auto"/>
              <w:jc w:val="center"/>
              <w:rPr>
                <w:rFonts w:eastAsia="Times New Roman" w:cstheme="minorHAnsi"/>
                <w:b/>
                <w:color w:val="000000"/>
                <w:sz w:val="22"/>
                <w:szCs w:val="22"/>
                <w:lang w:eastAsia="en-AU"/>
              </w:rPr>
            </w:pPr>
            <w:r w:rsidRPr="003B5B5D">
              <w:rPr>
                <w:rFonts w:eastAsia="Times New Roman" w:cstheme="minorHAnsi"/>
                <w:b/>
                <w:color w:val="000000"/>
                <w:sz w:val="22"/>
                <w:szCs w:val="22"/>
                <w:lang w:eastAsia="en-AU"/>
              </w:rPr>
              <w:t>2019/20</w:t>
            </w:r>
          </w:p>
        </w:tc>
      </w:tr>
      <w:tr w:rsidR="003B5B5D" w:rsidRPr="00490922" w:rsidTr="003B5B5D">
        <w:trPr>
          <w:trHeight w:val="363"/>
          <w:jc w:val="center"/>
        </w:trPr>
        <w:tc>
          <w:tcPr>
            <w:tcW w:w="1194" w:type="dxa"/>
            <w:hideMark/>
          </w:tcPr>
          <w:p w:rsidR="003B5B5D" w:rsidRPr="00960B3E" w:rsidRDefault="003B5B5D" w:rsidP="00960B3E">
            <w:pPr>
              <w:spacing w:line="240" w:lineRule="auto"/>
              <w:rPr>
                <w:rFonts w:eastAsia="Times New Roman" w:cstheme="minorHAnsi"/>
                <w:color w:val="000000"/>
                <w:sz w:val="22"/>
                <w:szCs w:val="22"/>
                <w:lang w:eastAsia="en-AU"/>
              </w:rPr>
            </w:pPr>
            <w:r w:rsidRPr="00490922">
              <w:rPr>
                <w:rFonts w:eastAsia="Times New Roman" w:cstheme="minorHAnsi"/>
                <w:color w:val="000000"/>
                <w:sz w:val="22"/>
                <w:szCs w:val="22"/>
                <w:lang w:eastAsia="en-AU"/>
              </w:rPr>
              <w:t xml:space="preserve">$125.8m </w:t>
            </w:r>
            <w:r w:rsidRPr="00960B3E">
              <w:rPr>
                <w:rFonts w:eastAsia="Times New Roman" w:cstheme="minorHAnsi"/>
                <w:color w:val="000000"/>
                <w:sz w:val="22"/>
                <w:szCs w:val="22"/>
                <w:lang w:eastAsia="en-AU"/>
              </w:rPr>
              <w:t xml:space="preserve"> </w:t>
            </w:r>
          </w:p>
        </w:tc>
        <w:tc>
          <w:tcPr>
            <w:tcW w:w="1211" w:type="dxa"/>
            <w:noWrap/>
            <w:hideMark/>
          </w:tcPr>
          <w:p w:rsidR="003B5B5D" w:rsidRPr="00960B3E" w:rsidRDefault="003B5B5D" w:rsidP="00960B3E">
            <w:pPr>
              <w:spacing w:line="240" w:lineRule="auto"/>
              <w:rPr>
                <w:rFonts w:eastAsia="Times New Roman" w:cstheme="minorHAnsi"/>
                <w:color w:val="000000"/>
                <w:sz w:val="22"/>
                <w:szCs w:val="22"/>
                <w:lang w:eastAsia="en-AU"/>
              </w:rPr>
            </w:pPr>
            <w:r w:rsidRPr="00490922">
              <w:rPr>
                <w:rFonts w:eastAsia="Times New Roman" w:cstheme="minorHAnsi"/>
                <w:color w:val="000000"/>
                <w:sz w:val="22"/>
                <w:szCs w:val="22"/>
                <w:lang w:eastAsia="en-AU"/>
              </w:rPr>
              <w:t>$</w:t>
            </w:r>
            <w:r w:rsidRPr="00960B3E">
              <w:rPr>
                <w:rFonts w:eastAsia="Times New Roman" w:cstheme="minorHAnsi"/>
                <w:color w:val="000000"/>
                <w:sz w:val="22"/>
                <w:szCs w:val="22"/>
                <w:lang w:eastAsia="en-AU"/>
              </w:rPr>
              <w:t>127</w:t>
            </w:r>
            <w:r w:rsidRPr="00490922">
              <w:rPr>
                <w:rFonts w:eastAsia="Times New Roman" w:cstheme="minorHAnsi"/>
                <w:color w:val="000000"/>
                <w:sz w:val="22"/>
                <w:szCs w:val="22"/>
                <w:lang w:eastAsia="en-AU"/>
              </w:rPr>
              <w:t xml:space="preserve">.2m </w:t>
            </w:r>
            <w:r w:rsidRPr="00960B3E">
              <w:rPr>
                <w:rFonts w:eastAsia="Times New Roman" w:cstheme="minorHAnsi"/>
                <w:color w:val="000000"/>
                <w:sz w:val="22"/>
                <w:szCs w:val="22"/>
                <w:lang w:eastAsia="en-AU"/>
              </w:rPr>
              <w:t xml:space="preserve"> </w:t>
            </w:r>
          </w:p>
        </w:tc>
        <w:tc>
          <w:tcPr>
            <w:tcW w:w="1276" w:type="dxa"/>
            <w:noWrap/>
            <w:hideMark/>
          </w:tcPr>
          <w:p w:rsidR="003B5B5D" w:rsidRPr="00960B3E" w:rsidRDefault="003B5B5D" w:rsidP="00960B3E">
            <w:pPr>
              <w:spacing w:line="240" w:lineRule="auto"/>
              <w:rPr>
                <w:rFonts w:eastAsia="Times New Roman" w:cstheme="minorHAnsi"/>
                <w:color w:val="000000"/>
                <w:sz w:val="22"/>
                <w:szCs w:val="22"/>
                <w:lang w:eastAsia="en-AU"/>
              </w:rPr>
            </w:pPr>
            <w:r w:rsidRPr="00960B3E">
              <w:rPr>
                <w:rFonts w:eastAsia="Times New Roman" w:cstheme="minorHAnsi"/>
                <w:color w:val="000000"/>
                <w:sz w:val="22"/>
                <w:szCs w:val="22"/>
                <w:lang w:eastAsia="en-AU"/>
              </w:rPr>
              <w:t xml:space="preserve"> $106</w:t>
            </w:r>
            <w:r w:rsidRPr="00490922">
              <w:rPr>
                <w:rFonts w:eastAsia="Times New Roman" w:cstheme="minorHAnsi"/>
                <w:color w:val="000000"/>
                <w:sz w:val="22"/>
                <w:szCs w:val="22"/>
                <w:lang w:eastAsia="en-AU"/>
              </w:rPr>
              <w:t>.4m</w:t>
            </w:r>
            <w:r w:rsidRPr="00960B3E">
              <w:rPr>
                <w:rFonts w:eastAsia="Times New Roman" w:cstheme="minorHAnsi"/>
                <w:color w:val="000000"/>
                <w:sz w:val="22"/>
                <w:szCs w:val="22"/>
                <w:lang w:eastAsia="en-AU"/>
              </w:rPr>
              <w:t xml:space="preserve"> </w:t>
            </w:r>
          </w:p>
        </w:tc>
        <w:tc>
          <w:tcPr>
            <w:tcW w:w="1276" w:type="dxa"/>
            <w:noWrap/>
            <w:hideMark/>
          </w:tcPr>
          <w:p w:rsidR="003B5B5D" w:rsidRPr="00960B3E" w:rsidRDefault="003B5B5D" w:rsidP="00960B3E">
            <w:pPr>
              <w:spacing w:line="240" w:lineRule="auto"/>
              <w:rPr>
                <w:rFonts w:eastAsia="Times New Roman" w:cstheme="minorHAnsi"/>
                <w:color w:val="000000"/>
                <w:sz w:val="22"/>
                <w:szCs w:val="22"/>
                <w:lang w:eastAsia="en-AU"/>
              </w:rPr>
            </w:pPr>
            <w:r w:rsidRPr="00960B3E">
              <w:rPr>
                <w:rFonts w:eastAsia="Times New Roman" w:cstheme="minorHAnsi"/>
                <w:color w:val="000000"/>
                <w:sz w:val="22"/>
                <w:szCs w:val="22"/>
                <w:lang w:eastAsia="en-AU"/>
              </w:rPr>
              <w:t xml:space="preserve"> $106</w:t>
            </w:r>
            <w:r w:rsidRPr="00490922">
              <w:rPr>
                <w:rFonts w:eastAsia="Times New Roman" w:cstheme="minorHAnsi"/>
                <w:color w:val="000000"/>
                <w:sz w:val="22"/>
                <w:szCs w:val="22"/>
                <w:lang w:eastAsia="en-AU"/>
              </w:rPr>
              <w:t xml:space="preserve">.0m </w:t>
            </w:r>
          </w:p>
        </w:tc>
        <w:tc>
          <w:tcPr>
            <w:tcW w:w="1275" w:type="dxa"/>
            <w:noWrap/>
            <w:hideMark/>
          </w:tcPr>
          <w:p w:rsidR="003B5B5D" w:rsidRPr="00960B3E" w:rsidRDefault="003B5B5D" w:rsidP="00960B3E">
            <w:pPr>
              <w:spacing w:line="240" w:lineRule="auto"/>
              <w:rPr>
                <w:rFonts w:eastAsia="Times New Roman" w:cstheme="minorHAnsi"/>
                <w:color w:val="000000"/>
                <w:sz w:val="22"/>
                <w:szCs w:val="22"/>
                <w:lang w:eastAsia="en-AU"/>
              </w:rPr>
            </w:pPr>
            <w:r w:rsidRPr="00960B3E">
              <w:rPr>
                <w:rFonts w:eastAsia="Times New Roman" w:cstheme="minorHAnsi"/>
                <w:color w:val="000000"/>
                <w:sz w:val="22"/>
                <w:szCs w:val="22"/>
                <w:lang w:eastAsia="en-AU"/>
              </w:rPr>
              <w:t xml:space="preserve"> $110</w:t>
            </w:r>
            <w:r w:rsidRPr="00490922">
              <w:rPr>
                <w:rFonts w:eastAsia="Times New Roman" w:cstheme="minorHAnsi"/>
                <w:color w:val="000000"/>
                <w:sz w:val="22"/>
                <w:szCs w:val="22"/>
                <w:lang w:eastAsia="en-AU"/>
              </w:rPr>
              <w:t>.1m</w:t>
            </w:r>
            <w:r w:rsidRPr="00960B3E">
              <w:rPr>
                <w:rFonts w:eastAsia="Times New Roman" w:cstheme="minorHAnsi"/>
                <w:color w:val="000000"/>
                <w:sz w:val="22"/>
                <w:szCs w:val="22"/>
                <w:lang w:eastAsia="en-AU"/>
              </w:rPr>
              <w:t xml:space="preserve"> </w:t>
            </w:r>
          </w:p>
        </w:tc>
        <w:tc>
          <w:tcPr>
            <w:tcW w:w="1418" w:type="dxa"/>
            <w:noWrap/>
            <w:hideMark/>
          </w:tcPr>
          <w:p w:rsidR="003B5B5D" w:rsidRPr="00960B3E" w:rsidRDefault="003B5B5D" w:rsidP="00960B3E">
            <w:pPr>
              <w:spacing w:line="240" w:lineRule="auto"/>
              <w:rPr>
                <w:rFonts w:eastAsia="Times New Roman" w:cstheme="minorHAnsi"/>
                <w:color w:val="000000"/>
                <w:sz w:val="22"/>
                <w:szCs w:val="22"/>
                <w:lang w:eastAsia="en-AU"/>
              </w:rPr>
            </w:pPr>
            <w:r w:rsidRPr="00960B3E">
              <w:rPr>
                <w:rFonts w:eastAsia="Times New Roman" w:cstheme="minorHAnsi"/>
                <w:color w:val="000000"/>
                <w:sz w:val="22"/>
                <w:szCs w:val="22"/>
                <w:lang w:eastAsia="en-AU"/>
              </w:rPr>
              <w:t xml:space="preserve"> $109</w:t>
            </w:r>
            <w:r w:rsidRPr="00490922">
              <w:rPr>
                <w:rFonts w:eastAsia="Times New Roman" w:cstheme="minorHAnsi"/>
                <w:color w:val="000000"/>
                <w:sz w:val="22"/>
                <w:szCs w:val="22"/>
                <w:lang w:eastAsia="en-AU"/>
              </w:rPr>
              <w:t xml:space="preserve">.2m </w:t>
            </w:r>
          </w:p>
        </w:tc>
        <w:tc>
          <w:tcPr>
            <w:tcW w:w="1276" w:type="dxa"/>
          </w:tcPr>
          <w:p w:rsidR="003B5B5D" w:rsidRPr="00960B3E" w:rsidRDefault="003B5B5D" w:rsidP="00960B3E">
            <w:pPr>
              <w:spacing w:line="240" w:lineRule="auto"/>
              <w:rPr>
                <w:rFonts w:eastAsia="Times New Roman" w:cstheme="minorHAnsi"/>
                <w:color w:val="000000"/>
                <w:sz w:val="22"/>
                <w:szCs w:val="22"/>
                <w:lang w:eastAsia="en-AU"/>
              </w:rPr>
            </w:pPr>
            <w:r>
              <w:rPr>
                <w:rFonts w:eastAsia="Times New Roman" w:cstheme="minorHAnsi"/>
                <w:color w:val="000000"/>
                <w:sz w:val="22"/>
                <w:szCs w:val="22"/>
                <w:lang w:eastAsia="en-AU"/>
              </w:rPr>
              <w:t>$102.3m</w:t>
            </w:r>
          </w:p>
        </w:tc>
      </w:tr>
    </w:tbl>
    <w:p w:rsidR="002A1116" w:rsidRDefault="002A1116" w:rsidP="00960B3E"/>
    <w:p w:rsidR="00960B3E" w:rsidRDefault="002B1D98" w:rsidP="002A1116">
      <w:pPr>
        <w:spacing w:line="240" w:lineRule="auto"/>
      </w:pPr>
      <w:r>
        <w:t xml:space="preserve">This table shows there has been a significant reduction in budget towards disability inclusion programming over the last five years. </w:t>
      </w:r>
      <w:r w:rsidR="00490922">
        <w:t>While these decreases</w:t>
      </w:r>
      <w:r w:rsidR="00960B3E">
        <w:t xml:space="preserve"> are proportionate to decreases </w:t>
      </w:r>
      <w:r w:rsidR="00960B3E">
        <w:lastRenderedPageBreak/>
        <w:t xml:space="preserve">to Australia’s total ODA budget, </w:t>
      </w:r>
      <w:r w:rsidR="00490922">
        <w:t xml:space="preserve">this table nonetheless reflects that </w:t>
      </w:r>
      <w:r w:rsidR="00960B3E">
        <w:t xml:space="preserve">that </w:t>
      </w:r>
      <w:r w:rsidR="00490922" w:rsidRPr="00490922">
        <w:rPr>
          <w:b/>
        </w:rPr>
        <w:t>d</w:t>
      </w:r>
      <w:r w:rsidR="00960B3E" w:rsidRPr="00490922">
        <w:rPr>
          <w:b/>
        </w:rPr>
        <w:t>isability inclusion programming budget has reduced by $</w:t>
      </w:r>
      <w:r w:rsidR="00BC4317">
        <w:rPr>
          <w:b/>
        </w:rPr>
        <w:t>23.5</w:t>
      </w:r>
      <w:r w:rsidR="00960B3E" w:rsidRPr="00490922">
        <w:rPr>
          <w:b/>
        </w:rPr>
        <w:t xml:space="preserve"> million</w:t>
      </w:r>
      <w:r w:rsidR="00960B3E">
        <w:t xml:space="preserve"> since the Australian government committed to the current </w:t>
      </w:r>
      <w:r w:rsidR="00960B3E" w:rsidRPr="00DA3BC8">
        <w:rPr>
          <w:i/>
        </w:rPr>
        <w:t>Development for All</w:t>
      </w:r>
      <w:r w:rsidR="00DA3BC8">
        <w:t xml:space="preserve"> s</w:t>
      </w:r>
      <w:r w:rsidR="00960B3E">
        <w:t>trategy.</w:t>
      </w:r>
    </w:p>
    <w:p w:rsidR="00490922" w:rsidRPr="00490922" w:rsidRDefault="00490922" w:rsidP="002A1116">
      <w:pPr>
        <w:spacing w:line="240" w:lineRule="auto"/>
        <w:jc w:val="both"/>
      </w:pPr>
      <w:r>
        <w:t xml:space="preserve">There are also concerns regarding the extent to which these dollar figures actually reflect money invested into improving the lives of people with disabilities. The data here is drawn from the Disability Inclusion table in DFAT’s annual </w:t>
      </w:r>
      <w:r>
        <w:rPr>
          <w:i/>
        </w:rPr>
        <w:t xml:space="preserve">Australia’s Official Development Assistance Statistical Summary report. </w:t>
      </w:r>
      <w:r w:rsidR="00966096">
        <w:t>E</w:t>
      </w:r>
      <w:r>
        <w:t xml:space="preserve">ach report notes </w:t>
      </w:r>
      <w:r w:rsidR="00966096" w:rsidRPr="00966096">
        <w:t xml:space="preserve">"Estimates in this table reflect the value of all activities that provide </w:t>
      </w:r>
      <w:r w:rsidR="00966096" w:rsidRPr="00966096">
        <w:rPr>
          <w:b/>
        </w:rPr>
        <w:t>some</w:t>
      </w:r>
      <w:r w:rsidR="00966096" w:rsidRPr="00966096">
        <w:t xml:space="preserve"> level of assistance to disabled persons. The level of assistance varies across all activities with some activities providing principal or significant focus and other activities </w:t>
      </w:r>
      <w:r w:rsidR="00966096" w:rsidRPr="00966096">
        <w:rPr>
          <w:b/>
        </w:rPr>
        <w:t>moderate or minor</w:t>
      </w:r>
      <w:r w:rsidR="00966096">
        <w:t xml:space="preserve"> focus</w:t>
      </w:r>
      <w:r w:rsidR="00966096" w:rsidRPr="00966096">
        <w:t>'</w:t>
      </w:r>
      <w:r w:rsidR="00966096">
        <w:rPr>
          <w:rStyle w:val="FootnoteReference"/>
        </w:rPr>
        <w:footnoteReference w:id="2"/>
      </w:r>
      <w:r w:rsidR="00966096">
        <w:t xml:space="preserve"> (emphasis added).</w:t>
      </w:r>
      <w:r w:rsidR="00966096" w:rsidRPr="00966096">
        <w:t xml:space="preserve"> The </w:t>
      </w:r>
      <w:r w:rsidR="00966096">
        <w:t xml:space="preserve">reports’ </w:t>
      </w:r>
      <w:r w:rsidR="00966096" w:rsidRPr="00966096">
        <w:t>appendix specifically notes that "Due to the variation in focus, caution should be exercised when interpreting disability inclusion data"</w:t>
      </w:r>
      <w:r w:rsidR="00966096">
        <w:t>.</w:t>
      </w:r>
      <w:r w:rsidR="00966096">
        <w:rPr>
          <w:rStyle w:val="FootnoteReference"/>
        </w:rPr>
        <w:footnoteReference w:id="3"/>
      </w:r>
      <w:r w:rsidR="00966096" w:rsidRPr="00966096">
        <w:t xml:space="preserve"> </w:t>
      </w:r>
    </w:p>
    <w:p w:rsidR="00E43965" w:rsidRDefault="00966096" w:rsidP="002A1116">
      <w:pPr>
        <w:spacing w:line="240" w:lineRule="auto"/>
        <w:jc w:val="both"/>
      </w:pPr>
      <w:r>
        <w:t xml:space="preserve">This is pertinent as when we have raised concerns with cuts to DFAT’s central disability inclusion budget, we have often been </w:t>
      </w:r>
      <w:r w:rsidRPr="00966096">
        <w:t xml:space="preserve">advised that </w:t>
      </w:r>
      <w:r>
        <w:t xml:space="preserve">this </w:t>
      </w:r>
      <w:r w:rsidRPr="00966096">
        <w:t>central budget allocation represents only 10% of the ODA's overall spend on disability</w:t>
      </w:r>
      <w:r>
        <w:t>. However, reporting fine print suggests that this figure is not robust</w:t>
      </w:r>
      <w:r w:rsidR="002B1D98">
        <w:t xml:space="preserve">, as it </w:t>
      </w:r>
      <w:r w:rsidRPr="00966096">
        <w:t>reflects an overall spend on programs that have 'some' focus on disability - potentially minor - and DFAT itself cautions reliance on this data.</w:t>
      </w:r>
    </w:p>
    <w:p w:rsidR="002A1116" w:rsidRDefault="002A1116" w:rsidP="002A1116">
      <w:pPr>
        <w:spacing w:line="240" w:lineRule="auto"/>
        <w:jc w:val="both"/>
      </w:pPr>
      <w:bookmarkStart w:id="2" w:name="_GoBack"/>
      <w:bookmarkEnd w:id="2"/>
    </w:p>
    <w:p w:rsidR="009B6E2B" w:rsidRPr="00D05725" w:rsidRDefault="009B6E2B" w:rsidP="00DA3BC8">
      <w:pPr>
        <w:pStyle w:val="Heading1"/>
        <w:numPr>
          <w:ilvl w:val="0"/>
          <w:numId w:val="0"/>
        </w:numPr>
        <w:spacing w:before="0" w:after="0" w:line="240" w:lineRule="auto"/>
        <w:ind w:left="426" w:hanging="426"/>
      </w:pPr>
      <w:r w:rsidRPr="00D05725">
        <w:t>References:</w:t>
      </w:r>
    </w:p>
    <w:p w:rsidR="009D5968" w:rsidRPr="00B977C7" w:rsidRDefault="009B6E2B" w:rsidP="00DA3BC8">
      <w:pPr>
        <w:spacing w:after="0" w:line="240" w:lineRule="auto"/>
        <w:rPr>
          <w:rFonts w:cstheme="minorHAnsi"/>
          <w:b/>
          <w:sz w:val="19"/>
          <w:szCs w:val="19"/>
        </w:rPr>
      </w:pPr>
      <w:r w:rsidRPr="00B977C7">
        <w:rPr>
          <w:rFonts w:cstheme="minorHAnsi"/>
          <w:b/>
          <w:sz w:val="19"/>
          <w:szCs w:val="19"/>
        </w:rPr>
        <w:t xml:space="preserve">Aid Quality Check related data: </w:t>
      </w:r>
    </w:p>
    <w:p w:rsidR="009D5968" w:rsidRPr="00B977C7" w:rsidRDefault="009B6E2B" w:rsidP="00DA3BC8">
      <w:pPr>
        <w:pStyle w:val="ListParagraph"/>
        <w:numPr>
          <w:ilvl w:val="0"/>
          <w:numId w:val="7"/>
        </w:numPr>
        <w:spacing w:after="0" w:line="240" w:lineRule="auto"/>
        <w:ind w:left="426" w:hanging="426"/>
        <w:rPr>
          <w:rStyle w:val="A2"/>
          <w:color w:val="auto"/>
          <w:sz w:val="19"/>
          <w:szCs w:val="19"/>
        </w:rPr>
      </w:pPr>
      <w:r w:rsidRPr="00B977C7">
        <w:rPr>
          <w:rStyle w:val="A2"/>
          <w:i/>
          <w:sz w:val="19"/>
          <w:szCs w:val="19"/>
        </w:rPr>
        <w:t>Performance of Australian Aid 2014-15</w:t>
      </w:r>
      <w:r w:rsidR="009D5968" w:rsidRPr="00B977C7">
        <w:rPr>
          <w:rStyle w:val="A2"/>
          <w:sz w:val="19"/>
          <w:szCs w:val="19"/>
        </w:rPr>
        <w:t>,</w:t>
      </w:r>
      <w:r w:rsidRPr="00B977C7">
        <w:rPr>
          <w:rStyle w:val="A2"/>
          <w:sz w:val="19"/>
          <w:szCs w:val="19"/>
        </w:rPr>
        <w:t xml:space="preserve"> </w:t>
      </w:r>
      <w:hyperlink r:id="rId13" w:history="1">
        <w:r w:rsidRPr="00B977C7">
          <w:rPr>
            <w:rStyle w:val="Hyperlink"/>
            <w:sz w:val="19"/>
            <w:szCs w:val="19"/>
          </w:rPr>
          <w:t>http://dfat.gov.au/about-us/publications/Pages/performance-of-australian-aid-2014-15.aspx</w:t>
        </w:r>
      </w:hyperlink>
      <w:r w:rsidRPr="00B977C7">
        <w:rPr>
          <w:rStyle w:val="A2"/>
          <w:sz w:val="19"/>
          <w:szCs w:val="19"/>
        </w:rPr>
        <w:t xml:space="preserve"> p.76. </w:t>
      </w:r>
    </w:p>
    <w:p w:rsidR="009D5968" w:rsidRPr="00B977C7" w:rsidRDefault="009B6E2B" w:rsidP="00DA3BC8">
      <w:pPr>
        <w:pStyle w:val="ListParagraph"/>
        <w:numPr>
          <w:ilvl w:val="0"/>
          <w:numId w:val="7"/>
        </w:numPr>
        <w:spacing w:after="0" w:line="240" w:lineRule="auto"/>
        <w:ind w:left="426" w:hanging="426"/>
        <w:rPr>
          <w:rStyle w:val="A2"/>
          <w:color w:val="auto"/>
          <w:sz w:val="19"/>
          <w:szCs w:val="19"/>
        </w:rPr>
      </w:pPr>
      <w:r w:rsidRPr="00B977C7">
        <w:rPr>
          <w:rStyle w:val="A2"/>
          <w:i/>
          <w:iCs/>
          <w:color w:val="auto"/>
          <w:sz w:val="19"/>
          <w:szCs w:val="19"/>
        </w:rPr>
        <w:t xml:space="preserve">Performance of Australian Aid 2015–16, </w:t>
      </w:r>
      <w:hyperlink r:id="rId14" w:history="1">
        <w:r w:rsidR="009D5968" w:rsidRPr="00B977C7">
          <w:rPr>
            <w:rStyle w:val="Hyperlink"/>
            <w:sz w:val="19"/>
            <w:szCs w:val="19"/>
          </w:rPr>
          <w:t>http://dfat.gov.au/about-us/publications/Pages/performance-of-australian-aid-2015-16.aspx p. 94</w:t>
        </w:r>
      </w:hyperlink>
      <w:r w:rsidRPr="00B977C7">
        <w:rPr>
          <w:rStyle w:val="A2"/>
          <w:color w:val="auto"/>
          <w:sz w:val="19"/>
          <w:szCs w:val="19"/>
        </w:rPr>
        <w:t>.</w:t>
      </w:r>
    </w:p>
    <w:p w:rsidR="009D5968" w:rsidRPr="00B977C7" w:rsidRDefault="00D05725" w:rsidP="00DA3BC8">
      <w:pPr>
        <w:pStyle w:val="ListParagraph"/>
        <w:numPr>
          <w:ilvl w:val="0"/>
          <w:numId w:val="7"/>
        </w:numPr>
        <w:spacing w:after="0" w:line="240" w:lineRule="auto"/>
        <w:ind w:left="426" w:hanging="426"/>
        <w:rPr>
          <w:sz w:val="19"/>
          <w:szCs w:val="19"/>
        </w:rPr>
      </w:pPr>
      <w:r w:rsidRPr="00B977C7">
        <w:rPr>
          <w:sz w:val="19"/>
          <w:szCs w:val="19"/>
        </w:rPr>
        <w:t xml:space="preserve">2016-17 </w:t>
      </w:r>
      <w:r w:rsidR="009B6E2B" w:rsidRPr="00B977C7">
        <w:rPr>
          <w:sz w:val="19"/>
          <w:szCs w:val="19"/>
        </w:rPr>
        <w:t xml:space="preserve">figures provided through Foreign Affairs Defence and Trade Budget Estimates 2018 – 2019 Questions on Notice – Written – 83; </w:t>
      </w:r>
      <w:hyperlink r:id="rId15" w:history="1">
        <w:r w:rsidR="009B6E2B" w:rsidRPr="00B977C7">
          <w:rPr>
            <w:rStyle w:val="Hyperlink"/>
            <w:rFonts w:cs="Segoe UI"/>
            <w:sz w:val="19"/>
            <w:szCs w:val="19"/>
          </w:rPr>
          <w:t>https://www.aph.gov.au/api/qon/downloadattachment?attachmentId=87b386b7-8ee2-44d2-a9cc-0151f4dba330</w:t>
        </w:r>
      </w:hyperlink>
      <w:r w:rsidR="009B6E2B" w:rsidRPr="00B977C7">
        <w:rPr>
          <w:rFonts w:cs="Segoe UI"/>
          <w:sz w:val="19"/>
          <w:szCs w:val="19"/>
        </w:rPr>
        <w:t xml:space="preserve">  </w:t>
      </w:r>
    </w:p>
    <w:p w:rsidR="009D5968" w:rsidRPr="00B977C7" w:rsidRDefault="009B6E2B" w:rsidP="00DA3BC8">
      <w:pPr>
        <w:pStyle w:val="ListParagraph"/>
        <w:numPr>
          <w:ilvl w:val="0"/>
          <w:numId w:val="7"/>
        </w:numPr>
        <w:spacing w:after="0" w:line="240" w:lineRule="auto"/>
        <w:ind w:left="426" w:hanging="426"/>
        <w:rPr>
          <w:sz w:val="19"/>
          <w:szCs w:val="19"/>
        </w:rPr>
      </w:pPr>
      <w:r w:rsidRPr="00B977C7">
        <w:rPr>
          <w:i/>
          <w:sz w:val="19"/>
          <w:szCs w:val="19"/>
        </w:rPr>
        <w:t xml:space="preserve">Performance of Australian Aid 2017-18, </w:t>
      </w:r>
      <w:hyperlink r:id="rId16" w:history="1">
        <w:r w:rsidRPr="00B977C7">
          <w:rPr>
            <w:rStyle w:val="Hyperlink"/>
            <w:sz w:val="19"/>
            <w:szCs w:val="19"/>
          </w:rPr>
          <w:t>https://www.dfat.gov.au/about-us/publications/Pages/performance-of-australian-aid-2017-18</w:t>
        </w:r>
      </w:hyperlink>
      <w:r w:rsidRPr="00B977C7">
        <w:rPr>
          <w:sz w:val="19"/>
          <w:szCs w:val="19"/>
        </w:rPr>
        <w:t xml:space="preserve"> p. 66.</w:t>
      </w:r>
    </w:p>
    <w:p w:rsidR="009B6E2B" w:rsidRPr="00B977C7" w:rsidRDefault="009B6E2B" w:rsidP="00DA3BC8">
      <w:pPr>
        <w:pStyle w:val="ListParagraph"/>
        <w:numPr>
          <w:ilvl w:val="0"/>
          <w:numId w:val="7"/>
        </w:numPr>
        <w:spacing w:after="0" w:line="240" w:lineRule="auto"/>
        <w:ind w:left="426" w:hanging="426"/>
        <w:rPr>
          <w:sz w:val="19"/>
          <w:szCs w:val="19"/>
        </w:rPr>
      </w:pPr>
      <w:r w:rsidRPr="00B977C7">
        <w:rPr>
          <w:i/>
          <w:sz w:val="19"/>
          <w:szCs w:val="19"/>
        </w:rPr>
        <w:t xml:space="preserve">Performance of Australian Aid 2018-19, </w:t>
      </w:r>
      <w:hyperlink r:id="rId17" w:history="1">
        <w:r w:rsidRPr="00B977C7">
          <w:rPr>
            <w:rStyle w:val="Hyperlink"/>
            <w:sz w:val="19"/>
            <w:szCs w:val="19"/>
          </w:rPr>
          <w:t>https://www.dfat.gov.au/publications/development/performance-of-australian-aid-2018-19</w:t>
        </w:r>
      </w:hyperlink>
      <w:r w:rsidRPr="00B977C7">
        <w:rPr>
          <w:sz w:val="19"/>
          <w:szCs w:val="19"/>
        </w:rPr>
        <w:t xml:space="preserve"> p. 19</w:t>
      </w:r>
      <w:r w:rsidR="009D5968" w:rsidRPr="00B977C7">
        <w:rPr>
          <w:sz w:val="19"/>
          <w:szCs w:val="19"/>
        </w:rPr>
        <w:t>.</w:t>
      </w:r>
    </w:p>
    <w:p w:rsidR="009D5968" w:rsidRPr="00B977C7" w:rsidRDefault="009D5968" w:rsidP="00DA3BC8">
      <w:pPr>
        <w:spacing w:after="0" w:line="240" w:lineRule="auto"/>
        <w:rPr>
          <w:b/>
          <w:sz w:val="19"/>
          <w:szCs w:val="19"/>
        </w:rPr>
      </w:pPr>
      <w:r w:rsidRPr="00B977C7">
        <w:rPr>
          <w:b/>
          <w:sz w:val="19"/>
          <w:szCs w:val="19"/>
        </w:rPr>
        <w:t>Central disability inclusion budget allocation data</w:t>
      </w:r>
      <w:r w:rsidR="00D05725" w:rsidRPr="00B977C7">
        <w:rPr>
          <w:b/>
          <w:sz w:val="19"/>
          <w:szCs w:val="19"/>
        </w:rPr>
        <w:t>:</w:t>
      </w:r>
    </w:p>
    <w:p w:rsidR="00C62C11" w:rsidRPr="00B977C7" w:rsidRDefault="009762A5" w:rsidP="00DA3BC8">
      <w:pPr>
        <w:pStyle w:val="ListParagraph"/>
        <w:numPr>
          <w:ilvl w:val="0"/>
          <w:numId w:val="8"/>
        </w:numPr>
        <w:spacing w:after="0" w:line="240" w:lineRule="auto"/>
        <w:ind w:left="426" w:hanging="426"/>
        <w:rPr>
          <w:sz w:val="19"/>
          <w:szCs w:val="19"/>
        </w:rPr>
      </w:pPr>
      <w:r w:rsidRPr="00B977C7">
        <w:rPr>
          <w:sz w:val="19"/>
          <w:szCs w:val="19"/>
        </w:rPr>
        <w:t xml:space="preserve">2016-17 Australian Aid Budget Summary </w:t>
      </w:r>
      <w:hyperlink r:id="rId18" w:history="1">
        <w:r w:rsidRPr="00B977C7">
          <w:rPr>
            <w:rStyle w:val="Hyperlink"/>
            <w:sz w:val="19"/>
            <w:szCs w:val="19"/>
          </w:rPr>
          <w:t>https://www.dfat.gov.au/sites/default/files/2016-17-australian-aid-budget-summary.pdf</w:t>
        </w:r>
      </w:hyperlink>
      <w:r w:rsidRPr="00B977C7">
        <w:rPr>
          <w:sz w:val="19"/>
          <w:szCs w:val="19"/>
        </w:rPr>
        <w:t xml:space="preserve"> p. 6</w:t>
      </w:r>
    </w:p>
    <w:p w:rsidR="009762A5" w:rsidRPr="00B977C7" w:rsidRDefault="009762A5" w:rsidP="00DA3BC8">
      <w:pPr>
        <w:pStyle w:val="ListParagraph"/>
        <w:numPr>
          <w:ilvl w:val="0"/>
          <w:numId w:val="8"/>
        </w:numPr>
        <w:spacing w:after="0" w:line="240" w:lineRule="auto"/>
        <w:ind w:left="426" w:hanging="426"/>
        <w:rPr>
          <w:sz w:val="19"/>
          <w:szCs w:val="19"/>
        </w:rPr>
      </w:pPr>
      <w:r w:rsidRPr="00B977C7">
        <w:rPr>
          <w:sz w:val="19"/>
          <w:szCs w:val="19"/>
        </w:rPr>
        <w:t xml:space="preserve">2017-18 Australian Aid Budget Summary </w:t>
      </w:r>
      <w:hyperlink r:id="rId19" w:history="1">
        <w:r w:rsidRPr="00B977C7">
          <w:rPr>
            <w:rStyle w:val="Hyperlink"/>
            <w:sz w:val="19"/>
            <w:szCs w:val="19"/>
          </w:rPr>
          <w:t>https://www.dfat.gov.au/sites/default/files/2017-18-australian-aid-budget-summary.pdf</w:t>
        </w:r>
      </w:hyperlink>
      <w:r w:rsidRPr="00B977C7">
        <w:rPr>
          <w:sz w:val="19"/>
          <w:szCs w:val="19"/>
        </w:rPr>
        <w:t xml:space="preserve"> p. 8</w:t>
      </w:r>
    </w:p>
    <w:p w:rsidR="009762A5" w:rsidRPr="00B977C7" w:rsidRDefault="009762A5" w:rsidP="00DA3BC8">
      <w:pPr>
        <w:pStyle w:val="ListParagraph"/>
        <w:numPr>
          <w:ilvl w:val="0"/>
          <w:numId w:val="8"/>
        </w:numPr>
        <w:spacing w:after="0" w:line="240" w:lineRule="auto"/>
        <w:ind w:left="426" w:hanging="426"/>
        <w:rPr>
          <w:sz w:val="19"/>
          <w:szCs w:val="19"/>
        </w:rPr>
      </w:pPr>
      <w:r w:rsidRPr="00B977C7">
        <w:rPr>
          <w:sz w:val="19"/>
          <w:szCs w:val="19"/>
        </w:rPr>
        <w:t xml:space="preserve">2018-19 figures provided through Foreign Affairs Defence and Trade Budget Estimates 2018 – 2019 Questions on Notice – Written – 83; </w:t>
      </w:r>
      <w:hyperlink r:id="rId20" w:history="1">
        <w:r w:rsidRPr="00B977C7">
          <w:rPr>
            <w:rStyle w:val="Hyperlink"/>
            <w:rFonts w:cs="Segoe UI"/>
            <w:sz w:val="19"/>
            <w:szCs w:val="19"/>
          </w:rPr>
          <w:t>https://www.aph.gov.au/api/qon/downloadattachment?attachmentId=87b386b7-8ee2-44d2-a9cc-0151f4dba330</w:t>
        </w:r>
      </w:hyperlink>
    </w:p>
    <w:p w:rsidR="009762A5" w:rsidRPr="00B977C7" w:rsidRDefault="009762A5" w:rsidP="00DA3BC8">
      <w:pPr>
        <w:pStyle w:val="ListParagraph"/>
        <w:numPr>
          <w:ilvl w:val="0"/>
          <w:numId w:val="8"/>
        </w:numPr>
        <w:spacing w:after="0" w:line="240" w:lineRule="auto"/>
        <w:ind w:left="426" w:hanging="426"/>
        <w:rPr>
          <w:sz w:val="19"/>
          <w:szCs w:val="19"/>
        </w:rPr>
      </w:pPr>
      <w:r w:rsidRPr="00B977C7">
        <w:rPr>
          <w:sz w:val="19"/>
          <w:szCs w:val="19"/>
        </w:rPr>
        <w:t xml:space="preserve">2019-2020 figures obtained verbally and confirmed in ACFID 2019-20 Federal Budget Analysis </w:t>
      </w:r>
      <w:hyperlink r:id="rId21" w:history="1">
        <w:r w:rsidRPr="00B977C7">
          <w:rPr>
            <w:rStyle w:val="Hyperlink"/>
            <w:sz w:val="19"/>
            <w:szCs w:val="19"/>
          </w:rPr>
          <w:t>https://acfid.asn.au/sites/site.acfid/files/ACFID_Budget_Analysis_2019_FINAL_EDIT_4April.pdf p. 7</w:t>
        </w:r>
      </w:hyperlink>
    </w:p>
    <w:p w:rsidR="009762A5" w:rsidRPr="00B977C7" w:rsidRDefault="009762A5" w:rsidP="00DA3BC8">
      <w:pPr>
        <w:pStyle w:val="ListParagraph"/>
        <w:numPr>
          <w:ilvl w:val="0"/>
          <w:numId w:val="8"/>
        </w:numPr>
        <w:spacing w:after="0" w:line="240" w:lineRule="auto"/>
        <w:ind w:left="426" w:hanging="426"/>
        <w:rPr>
          <w:sz w:val="19"/>
          <w:szCs w:val="19"/>
        </w:rPr>
      </w:pPr>
      <w:r w:rsidRPr="00B977C7">
        <w:rPr>
          <w:sz w:val="19"/>
          <w:szCs w:val="19"/>
        </w:rPr>
        <w:t xml:space="preserve">2020-21 figures obtained during DFAT Federal Budget briefing to aid sector, and confirmed via written correspondence and meetings with </w:t>
      </w:r>
      <w:r w:rsidR="00D05725" w:rsidRPr="00B977C7">
        <w:rPr>
          <w:sz w:val="19"/>
          <w:szCs w:val="19"/>
        </w:rPr>
        <w:t xml:space="preserve">the Minister Hawke </w:t>
      </w:r>
      <w:r w:rsidR="00B977C7" w:rsidRPr="00B977C7">
        <w:rPr>
          <w:sz w:val="19"/>
          <w:szCs w:val="19"/>
        </w:rPr>
        <w:t>in late 2020</w:t>
      </w:r>
      <w:r w:rsidR="00D05725" w:rsidRPr="00B977C7">
        <w:rPr>
          <w:sz w:val="19"/>
          <w:szCs w:val="19"/>
        </w:rPr>
        <w:t>.</w:t>
      </w:r>
    </w:p>
    <w:p w:rsidR="00C62C11" w:rsidRPr="00B977C7" w:rsidRDefault="00C62C11" w:rsidP="00DA3BC8">
      <w:pPr>
        <w:spacing w:after="0" w:line="240" w:lineRule="auto"/>
        <w:rPr>
          <w:b/>
          <w:sz w:val="19"/>
          <w:szCs w:val="19"/>
        </w:rPr>
      </w:pPr>
      <w:r w:rsidRPr="00B977C7">
        <w:rPr>
          <w:b/>
          <w:sz w:val="19"/>
          <w:szCs w:val="19"/>
        </w:rPr>
        <w:t xml:space="preserve">DFAT’s Disability Inclusion Programming Budget data </w:t>
      </w:r>
    </w:p>
    <w:p w:rsidR="00C62C11" w:rsidRPr="00B977C7" w:rsidRDefault="00C62C11" w:rsidP="00DA3BC8">
      <w:pPr>
        <w:pStyle w:val="ListParagraph"/>
        <w:numPr>
          <w:ilvl w:val="0"/>
          <w:numId w:val="9"/>
        </w:numPr>
        <w:spacing w:after="0" w:line="240" w:lineRule="auto"/>
        <w:rPr>
          <w:rFonts w:eastAsia="Times New Roman" w:cstheme="minorHAnsi"/>
          <w:color w:val="313131"/>
          <w:sz w:val="19"/>
          <w:szCs w:val="19"/>
        </w:rPr>
      </w:pPr>
      <w:r w:rsidRPr="00B977C7">
        <w:rPr>
          <w:rFonts w:cstheme="minorHAnsi"/>
          <w:sz w:val="19"/>
          <w:szCs w:val="19"/>
        </w:rPr>
        <w:t xml:space="preserve">Contained in the Disability Inclusion Table contained in the respective annual </w:t>
      </w:r>
      <w:r w:rsidRPr="00B977C7">
        <w:rPr>
          <w:rFonts w:cstheme="minorHAnsi"/>
          <w:i/>
          <w:sz w:val="19"/>
          <w:szCs w:val="19"/>
        </w:rPr>
        <w:t>Australia’s Official Development Assistance: Statistical Summary</w:t>
      </w:r>
      <w:r w:rsidRPr="00B977C7">
        <w:rPr>
          <w:rFonts w:cstheme="minorHAnsi"/>
          <w:sz w:val="19"/>
          <w:szCs w:val="19"/>
        </w:rPr>
        <w:t xml:space="preserve">, </w:t>
      </w:r>
      <w:r w:rsidRPr="00B977C7">
        <w:rPr>
          <w:rFonts w:eastAsia="Times New Roman" w:cstheme="minorHAnsi"/>
          <w:sz w:val="19"/>
          <w:szCs w:val="19"/>
        </w:rPr>
        <w:t xml:space="preserve">available for the years cited from </w:t>
      </w:r>
      <w:hyperlink r:id="rId22" w:history="1">
        <w:r w:rsidR="00B977C7" w:rsidRPr="00B977C7">
          <w:rPr>
            <w:rStyle w:val="Hyperlink"/>
            <w:rFonts w:eastAsia="Times New Roman" w:cstheme="minorHAnsi"/>
            <w:sz w:val="19"/>
            <w:szCs w:val="19"/>
          </w:rPr>
          <w:t>https://www.dfat.gov.au/about-us/publications/Pages/statistical-summaries-australias-international-development-cooperation</w:t>
        </w:r>
      </w:hyperlink>
      <w:r w:rsidRPr="00B977C7">
        <w:rPr>
          <w:rFonts w:eastAsia="Times New Roman" w:cstheme="minorHAnsi"/>
          <w:color w:val="313131"/>
          <w:sz w:val="19"/>
          <w:szCs w:val="19"/>
        </w:rPr>
        <w:t xml:space="preserve"> </w:t>
      </w:r>
      <w:r w:rsidR="003B5B5D">
        <w:rPr>
          <w:rFonts w:eastAsia="Times New Roman" w:cstheme="minorHAnsi"/>
          <w:color w:val="313131"/>
          <w:sz w:val="19"/>
          <w:szCs w:val="19"/>
        </w:rPr>
        <w:t xml:space="preserve">and most recently </w:t>
      </w:r>
      <w:hyperlink r:id="rId23" w:history="1">
        <w:r w:rsidR="003B5B5D" w:rsidRPr="00CE7437">
          <w:rPr>
            <w:rStyle w:val="Hyperlink"/>
            <w:rFonts w:eastAsia="Times New Roman" w:cstheme="minorHAnsi"/>
            <w:sz w:val="19"/>
            <w:szCs w:val="19"/>
          </w:rPr>
          <w:t>https://www.dfat.gov.au/sites/default/files/development-assistance-statistical-summary-2019-20.pdf</w:t>
        </w:r>
      </w:hyperlink>
      <w:r w:rsidR="003B5B5D">
        <w:rPr>
          <w:rFonts w:eastAsia="Times New Roman" w:cstheme="minorHAnsi"/>
          <w:color w:val="313131"/>
          <w:sz w:val="19"/>
          <w:szCs w:val="19"/>
        </w:rPr>
        <w:t xml:space="preserve"> </w:t>
      </w:r>
    </w:p>
    <w:p w:rsidR="00C62C11" w:rsidRPr="00B977C7" w:rsidRDefault="00C62C11" w:rsidP="00DA3BC8">
      <w:pPr>
        <w:pStyle w:val="ListParagraph"/>
        <w:numPr>
          <w:ilvl w:val="0"/>
          <w:numId w:val="9"/>
        </w:numPr>
        <w:spacing w:after="0" w:line="240" w:lineRule="auto"/>
        <w:ind w:left="426" w:hanging="426"/>
        <w:rPr>
          <w:sz w:val="19"/>
          <w:szCs w:val="19"/>
        </w:rPr>
      </w:pPr>
      <w:r w:rsidRPr="00B977C7">
        <w:rPr>
          <w:rFonts w:eastAsia="Times New Roman" w:cstheme="minorHAnsi"/>
          <w:color w:val="313131"/>
          <w:sz w:val="19"/>
          <w:szCs w:val="19"/>
        </w:rPr>
        <w:t xml:space="preserve">Total ODA data is also taken from </w:t>
      </w:r>
      <w:r w:rsidR="00B977C7" w:rsidRPr="00B977C7">
        <w:rPr>
          <w:rFonts w:eastAsia="Times New Roman" w:cstheme="minorHAnsi"/>
          <w:color w:val="313131"/>
          <w:sz w:val="19"/>
          <w:szCs w:val="19"/>
        </w:rPr>
        <w:t>this report</w:t>
      </w:r>
      <w:r w:rsidRPr="00B977C7">
        <w:rPr>
          <w:rFonts w:eastAsia="Times New Roman" w:cstheme="minorHAnsi"/>
          <w:color w:val="313131"/>
          <w:sz w:val="19"/>
          <w:szCs w:val="19"/>
        </w:rPr>
        <w:t xml:space="preserve">. </w:t>
      </w:r>
    </w:p>
    <w:sectPr w:rsidR="00C62C11" w:rsidRPr="00B977C7" w:rsidSect="00B977C7">
      <w:headerReference w:type="even" r:id="rId24"/>
      <w:headerReference w:type="default" r:id="rId25"/>
      <w:footerReference w:type="default" r:id="rId26"/>
      <w:headerReference w:type="first" r:id="rId27"/>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968" w:rsidRDefault="009D5968" w:rsidP="00BF1D41">
      <w:pPr>
        <w:spacing w:after="0" w:line="240" w:lineRule="auto"/>
      </w:pPr>
      <w:r>
        <w:separator/>
      </w:r>
    </w:p>
  </w:endnote>
  <w:endnote w:type="continuationSeparator" w:id="0">
    <w:p w:rsidR="009D5968" w:rsidRDefault="009D5968" w:rsidP="00BF1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HelveticaNeue Condensed">
    <w:altName w:val="HelveticaNeue Condense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1067901"/>
      <w:docPartObj>
        <w:docPartGallery w:val="Page Numbers (Bottom of Page)"/>
        <w:docPartUnique/>
      </w:docPartObj>
    </w:sdtPr>
    <w:sdtEndPr>
      <w:rPr>
        <w:noProof/>
      </w:rPr>
    </w:sdtEndPr>
    <w:sdtContent>
      <w:p w:rsidR="00B977C7" w:rsidRDefault="00B977C7">
        <w:pPr>
          <w:pStyle w:val="Footer"/>
          <w:jc w:val="right"/>
        </w:pPr>
        <w:r>
          <w:fldChar w:fldCharType="begin"/>
        </w:r>
        <w:r>
          <w:instrText xml:space="preserve"> PAGE   \* MERGEFORMAT </w:instrText>
        </w:r>
        <w:r>
          <w:fldChar w:fldCharType="separate"/>
        </w:r>
        <w:r w:rsidR="002A1116">
          <w:rPr>
            <w:noProof/>
          </w:rPr>
          <w:t>4</w:t>
        </w:r>
        <w:r>
          <w:rPr>
            <w:noProof/>
          </w:rPr>
          <w:fldChar w:fldCharType="end"/>
        </w:r>
      </w:p>
    </w:sdtContent>
  </w:sdt>
  <w:p w:rsidR="00B977C7" w:rsidRDefault="00B97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968" w:rsidRDefault="009D5968" w:rsidP="00BF1D41">
      <w:pPr>
        <w:spacing w:after="0" w:line="240" w:lineRule="auto"/>
      </w:pPr>
      <w:r>
        <w:separator/>
      </w:r>
    </w:p>
  </w:footnote>
  <w:footnote w:type="continuationSeparator" w:id="0">
    <w:p w:rsidR="009D5968" w:rsidRDefault="009D5968" w:rsidP="00BF1D41">
      <w:pPr>
        <w:spacing w:after="0" w:line="240" w:lineRule="auto"/>
      </w:pPr>
      <w:r>
        <w:continuationSeparator/>
      </w:r>
    </w:p>
  </w:footnote>
  <w:footnote w:id="1">
    <w:p w:rsidR="009D5968" w:rsidRPr="00474586" w:rsidRDefault="009D5968" w:rsidP="00287ED8">
      <w:pPr>
        <w:pStyle w:val="FootnoteText"/>
        <w:rPr>
          <w:rFonts w:cstheme="minorHAnsi"/>
        </w:rPr>
      </w:pPr>
      <w:r w:rsidRPr="00474586">
        <w:rPr>
          <w:rStyle w:val="FootnoteReference"/>
          <w:rFonts w:cstheme="minorHAnsi"/>
        </w:rPr>
        <w:footnoteRef/>
      </w:r>
      <w:r w:rsidRPr="00474586">
        <w:rPr>
          <w:rFonts w:cstheme="minorHAnsi"/>
        </w:rPr>
        <w:t xml:space="preserve"> </w:t>
      </w:r>
      <w:hyperlink r:id="rId1" w:history="1">
        <w:r w:rsidRPr="00474586">
          <w:rPr>
            <w:rStyle w:val="Hyperlink"/>
            <w:rFonts w:cstheme="minorHAnsi"/>
          </w:rPr>
          <w:t>https://www.dfat.gov.au/aid/how-we-measure-performance/ode/strategic-evaluations/Pages/development-for-all-evaluation</w:t>
        </w:r>
      </w:hyperlink>
      <w:r w:rsidRPr="00474586">
        <w:rPr>
          <w:rFonts w:cstheme="minorHAnsi"/>
        </w:rPr>
        <w:t xml:space="preserve"> </w:t>
      </w:r>
      <w:r>
        <w:rPr>
          <w:rFonts w:cstheme="minorHAnsi"/>
        </w:rPr>
        <w:t xml:space="preserve">and </w:t>
      </w:r>
      <w:hyperlink r:id="rId2" w:history="1">
        <w:r w:rsidRPr="00474586">
          <w:rPr>
            <w:rStyle w:val="Hyperlink"/>
            <w:rFonts w:cstheme="minorHAnsi"/>
          </w:rPr>
          <w:t>https://www.dfat.gov.au/sites/default/files/development-for-all-evaluation-review.pdf</w:t>
        </w:r>
      </w:hyperlink>
    </w:p>
  </w:footnote>
  <w:footnote w:id="2">
    <w:p w:rsidR="009D5968" w:rsidRPr="00B977C7" w:rsidRDefault="009D5968">
      <w:pPr>
        <w:pStyle w:val="FootnoteText"/>
        <w:rPr>
          <w:sz w:val="16"/>
          <w:szCs w:val="16"/>
        </w:rPr>
      </w:pPr>
      <w:r w:rsidRPr="00B977C7">
        <w:rPr>
          <w:rStyle w:val="FootnoteReference"/>
          <w:sz w:val="16"/>
          <w:szCs w:val="16"/>
        </w:rPr>
        <w:footnoteRef/>
      </w:r>
      <w:r w:rsidRPr="00B977C7">
        <w:rPr>
          <w:sz w:val="16"/>
          <w:szCs w:val="16"/>
        </w:rPr>
        <w:t xml:space="preserve"> </w:t>
      </w:r>
      <w:r w:rsidR="00C62C11" w:rsidRPr="00B977C7">
        <w:rPr>
          <w:sz w:val="16"/>
          <w:szCs w:val="16"/>
        </w:rPr>
        <w:t xml:space="preserve">E.g. See </w:t>
      </w:r>
      <w:r w:rsidR="00C62C11" w:rsidRPr="00B977C7">
        <w:rPr>
          <w:rFonts w:cstheme="minorHAnsi"/>
          <w:i/>
          <w:sz w:val="16"/>
          <w:szCs w:val="16"/>
        </w:rPr>
        <w:t>Australia’s Official Development Assistance: Statistical Summary</w:t>
      </w:r>
      <w:r w:rsidR="00C62C11" w:rsidRPr="00B977C7">
        <w:rPr>
          <w:sz w:val="16"/>
          <w:szCs w:val="16"/>
        </w:rPr>
        <w:t xml:space="preserve"> </w:t>
      </w:r>
      <w:r w:rsidRPr="00B977C7">
        <w:rPr>
          <w:sz w:val="16"/>
          <w:szCs w:val="16"/>
        </w:rPr>
        <w:t>2018/19</w:t>
      </w:r>
      <w:r w:rsidR="00C62C11" w:rsidRPr="00B977C7">
        <w:rPr>
          <w:sz w:val="16"/>
          <w:szCs w:val="16"/>
        </w:rPr>
        <w:t xml:space="preserve">, </w:t>
      </w:r>
      <w:r w:rsidR="00B977C7">
        <w:rPr>
          <w:sz w:val="16"/>
          <w:szCs w:val="16"/>
        </w:rPr>
        <w:t xml:space="preserve">citation above, </w:t>
      </w:r>
      <w:r w:rsidR="00C62C11" w:rsidRPr="00B977C7">
        <w:rPr>
          <w:sz w:val="16"/>
          <w:szCs w:val="16"/>
        </w:rPr>
        <w:t xml:space="preserve">p. </w:t>
      </w:r>
      <w:r w:rsidRPr="00B977C7">
        <w:rPr>
          <w:sz w:val="16"/>
          <w:szCs w:val="16"/>
        </w:rPr>
        <w:t>26</w:t>
      </w:r>
      <w:r w:rsidR="00C62C11" w:rsidRPr="00B977C7">
        <w:rPr>
          <w:sz w:val="16"/>
          <w:szCs w:val="16"/>
        </w:rPr>
        <w:t>.</w:t>
      </w:r>
    </w:p>
  </w:footnote>
  <w:footnote w:id="3">
    <w:p w:rsidR="009D5968" w:rsidRDefault="009D5968">
      <w:pPr>
        <w:pStyle w:val="FootnoteText"/>
      </w:pPr>
      <w:r w:rsidRPr="00B977C7">
        <w:rPr>
          <w:rStyle w:val="FootnoteReference"/>
          <w:sz w:val="16"/>
          <w:szCs w:val="16"/>
        </w:rPr>
        <w:footnoteRef/>
      </w:r>
      <w:r w:rsidR="00C62C11" w:rsidRPr="00B977C7">
        <w:rPr>
          <w:sz w:val="16"/>
          <w:szCs w:val="16"/>
        </w:rPr>
        <w:t xml:space="preserve"> As above, p. 58.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68" w:rsidRDefault="009D596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68" w:rsidRDefault="009D5968" w:rsidP="00B5279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968" w:rsidRDefault="009D5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2C35"/>
    <w:multiLevelType w:val="hybridMultilevel"/>
    <w:tmpl w:val="B28E827E"/>
    <w:lvl w:ilvl="0" w:tplc="B450F958">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B31985"/>
    <w:multiLevelType w:val="hybridMultilevel"/>
    <w:tmpl w:val="607E36C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7AC7728"/>
    <w:multiLevelType w:val="hybridMultilevel"/>
    <w:tmpl w:val="2274411C"/>
    <w:lvl w:ilvl="0" w:tplc="86109278">
      <w:start w:val="1"/>
      <w:numFmt w:val="bullet"/>
      <w:lvlText w:val=""/>
      <w:lvlJc w:val="left"/>
      <w:pPr>
        <w:ind w:left="765"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4433B0"/>
    <w:multiLevelType w:val="hybridMultilevel"/>
    <w:tmpl w:val="51385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595F7E"/>
    <w:multiLevelType w:val="hybridMultilevel"/>
    <w:tmpl w:val="38F43C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A7170D7"/>
    <w:multiLevelType w:val="hybridMultilevel"/>
    <w:tmpl w:val="8F6A4E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7F4385A"/>
    <w:multiLevelType w:val="hybridMultilevel"/>
    <w:tmpl w:val="579697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5B877BE"/>
    <w:multiLevelType w:val="hybridMultilevel"/>
    <w:tmpl w:val="7D1E7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C6C11E7"/>
    <w:multiLevelType w:val="hybridMultilevel"/>
    <w:tmpl w:val="1DA826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6"/>
  </w:num>
  <w:num w:numId="4">
    <w:abstractNumId w:val="4"/>
  </w:num>
  <w:num w:numId="5">
    <w:abstractNumId w:val="0"/>
  </w:num>
  <w:num w:numId="6">
    <w:abstractNumId w:val="1"/>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D41"/>
    <w:rsid w:val="000033D1"/>
    <w:rsid w:val="001170C5"/>
    <w:rsid w:val="001518D5"/>
    <w:rsid w:val="00154B6E"/>
    <w:rsid w:val="001B38E0"/>
    <w:rsid w:val="001B6B67"/>
    <w:rsid w:val="001F2BBE"/>
    <w:rsid w:val="001F4C91"/>
    <w:rsid w:val="00266DB1"/>
    <w:rsid w:val="00287ED8"/>
    <w:rsid w:val="002A1116"/>
    <w:rsid w:val="002B1D98"/>
    <w:rsid w:val="003B5B5D"/>
    <w:rsid w:val="003F5EAE"/>
    <w:rsid w:val="00490922"/>
    <w:rsid w:val="00497E3D"/>
    <w:rsid w:val="004B0DC0"/>
    <w:rsid w:val="00552A3A"/>
    <w:rsid w:val="005808F5"/>
    <w:rsid w:val="005A7AF1"/>
    <w:rsid w:val="005B5C8D"/>
    <w:rsid w:val="00600ADD"/>
    <w:rsid w:val="00675191"/>
    <w:rsid w:val="006D6963"/>
    <w:rsid w:val="007661C5"/>
    <w:rsid w:val="00767466"/>
    <w:rsid w:val="008660C5"/>
    <w:rsid w:val="0089226B"/>
    <w:rsid w:val="008F6745"/>
    <w:rsid w:val="00960B3E"/>
    <w:rsid w:val="00966096"/>
    <w:rsid w:val="009762A5"/>
    <w:rsid w:val="009B6E2B"/>
    <w:rsid w:val="009D5968"/>
    <w:rsid w:val="00A20BF7"/>
    <w:rsid w:val="00A403B9"/>
    <w:rsid w:val="00AB71E1"/>
    <w:rsid w:val="00B3592C"/>
    <w:rsid w:val="00B5279B"/>
    <w:rsid w:val="00B977C7"/>
    <w:rsid w:val="00BC4317"/>
    <w:rsid w:val="00BF1D41"/>
    <w:rsid w:val="00C275A6"/>
    <w:rsid w:val="00C62C11"/>
    <w:rsid w:val="00CF7AC9"/>
    <w:rsid w:val="00D05725"/>
    <w:rsid w:val="00D90A91"/>
    <w:rsid w:val="00D951B1"/>
    <w:rsid w:val="00DA3BC8"/>
    <w:rsid w:val="00DD0DE2"/>
    <w:rsid w:val="00E05BD2"/>
    <w:rsid w:val="00E405A2"/>
    <w:rsid w:val="00E43965"/>
    <w:rsid w:val="00E504BC"/>
    <w:rsid w:val="00E526E2"/>
    <w:rsid w:val="00EC02B8"/>
    <w:rsid w:val="00ED13ED"/>
    <w:rsid w:val="00EE61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EF08BA9"/>
  <w15:chartTrackingRefBased/>
  <w15:docId w15:val="{F386E86C-0B1E-4E3E-A067-8EF3E7F6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D41"/>
    <w:pPr>
      <w:spacing w:line="264" w:lineRule="auto"/>
    </w:pPr>
    <w:rPr>
      <w:rFonts w:eastAsiaTheme="minorEastAsia"/>
      <w:sz w:val="24"/>
      <w:szCs w:val="24"/>
    </w:rPr>
  </w:style>
  <w:style w:type="paragraph" w:styleId="Heading1">
    <w:name w:val="heading 1"/>
    <w:basedOn w:val="Normal"/>
    <w:next w:val="Normal"/>
    <w:link w:val="Heading1Char"/>
    <w:uiPriority w:val="9"/>
    <w:qFormat/>
    <w:rsid w:val="00B977C7"/>
    <w:pPr>
      <w:keepNext/>
      <w:keepLines/>
      <w:numPr>
        <w:numId w:val="5"/>
      </w:numPr>
      <w:spacing w:before="240" w:after="240"/>
      <w:ind w:left="426" w:hanging="426"/>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660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16 Point,Superscript 6 Point,BVI fnr Char Char Char Char Char,BVI fnr Car Car Char Char Char Char Char,BVI fnr Car Char Char Char Char Char,BVI fnr Car Car Car Car Char Char Char Char Char,4_G,Footnote number,Footnotes refss,BVI fnr"/>
    <w:basedOn w:val="DefaultParagraphFont"/>
    <w:uiPriority w:val="99"/>
    <w:unhideWhenUsed/>
    <w:rsid w:val="00BF1D41"/>
    <w:rPr>
      <w:vertAlign w:val="superscript"/>
    </w:rPr>
  </w:style>
  <w:style w:type="paragraph" w:customStyle="1" w:styleId="Default">
    <w:name w:val="Default"/>
    <w:rsid w:val="00BF1D41"/>
    <w:pPr>
      <w:autoSpaceDE w:val="0"/>
      <w:autoSpaceDN w:val="0"/>
      <w:adjustRightInd w:val="0"/>
      <w:spacing w:after="0" w:line="240" w:lineRule="auto"/>
    </w:pPr>
    <w:rPr>
      <w:rFonts w:ascii="HelveticaNeue Condensed" w:eastAsiaTheme="minorEastAsia" w:hAnsi="HelveticaNeue Condensed" w:cs="HelveticaNeue Condensed"/>
      <w:color w:val="000000"/>
      <w:sz w:val="24"/>
      <w:szCs w:val="24"/>
    </w:rPr>
  </w:style>
  <w:style w:type="table" w:styleId="TableGrid">
    <w:name w:val="Table Grid"/>
    <w:basedOn w:val="TableNormal"/>
    <w:uiPriority w:val="39"/>
    <w:rsid w:val="00BF1D41"/>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1D41"/>
    <w:rPr>
      <w:color w:val="0563C1" w:themeColor="hyperlink"/>
      <w:u w:val="single"/>
    </w:rPr>
  </w:style>
  <w:style w:type="paragraph" w:customStyle="1" w:styleId="Pa6">
    <w:name w:val="Pa6"/>
    <w:basedOn w:val="Default"/>
    <w:next w:val="Default"/>
    <w:uiPriority w:val="99"/>
    <w:rsid w:val="00BF1D41"/>
    <w:pPr>
      <w:spacing w:line="191" w:lineRule="atLeast"/>
    </w:pPr>
    <w:rPr>
      <w:rFonts w:ascii="Arial" w:hAnsi="Arial" w:cs="Arial"/>
      <w:color w:val="auto"/>
    </w:rPr>
  </w:style>
  <w:style w:type="character" w:customStyle="1" w:styleId="A2">
    <w:name w:val="A2"/>
    <w:uiPriority w:val="99"/>
    <w:rsid w:val="00BF1D41"/>
    <w:rPr>
      <w:color w:val="000000"/>
      <w:sz w:val="16"/>
      <w:szCs w:val="16"/>
    </w:rPr>
  </w:style>
  <w:style w:type="paragraph" w:styleId="FootnoteText">
    <w:name w:val="footnote text"/>
    <w:basedOn w:val="Normal"/>
    <w:link w:val="FootnoteTextChar"/>
    <w:uiPriority w:val="99"/>
    <w:semiHidden/>
    <w:unhideWhenUsed/>
    <w:rsid w:val="00BF1D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1D41"/>
    <w:rPr>
      <w:rFonts w:eastAsiaTheme="minorEastAsia"/>
      <w:sz w:val="20"/>
      <w:szCs w:val="20"/>
    </w:rPr>
  </w:style>
  <w:style w:type="paragraph" w:styleId="ListParagraph">
    <w:name w:val="List Paragraph"/>
    <w:basedOn w:val="Normal"/>
    <w:uiPriority w:val="34"/>
    <w:qFormat/>
    <w:rsid w:val="00BF1D41"/>
    <w:pPr>
      <w:ind w:left="720"/>
      <w:contextualSpacing/>
    </w:pPr>
  </w:style>
  <w:style w:type="character" w:customStyle="1" w:styleId="Heading1Char">
    <w:name w:val="Heading 1 Char"/>
    <w:basedOn w:val="DefaultParagraphFont"/>
    <w:link w:val="Heading1"/>
    <w:uiPriority w:val="9"/>
    <w:rsid w:val="00B977C7"/>
    <w:rPr>
      <w:rFonts w:asciiTheme="majorHAnsi" w:eastAsiaTheme="majorEastAsia" w:hAnsiTheme="majorHAnsi" w:cstheme="majorBidi"/>
      <w:b/>
      <w:sz w:val="32"/>
      <w:szCs w:val="32"/>
    </w:rPr>
  </w:style>
  <w:style w:type="paragraph" w:styleId="Header">
    <w:name w:val="header"/>
    <w:basedOn w:val="Normal"/>
    <w:link w:val="HeaderChar"/>
    <w:uiPriority w:val="99"/>
    <w:unhideWhenUsed/>
    <w:rsid w:val="00B527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279B"/>
    <w:rPr>
      <w:rFonts w:eastAsiaTheme="minorEastAsia"/>
      <w:sz w:val="24"/>
      <w:szCs w:val="24"/>
    </w:rPr>
  </w:style>
  <w:style w:type="paragraph" w:styleId="Footer">
    <w:name w:val="footer"/>
    <w:basedOn w:val="Normal"/>
    <w:link w:val="FooterChar"/>
    <w:uiPriority w:val="99"/>
    <w:unhideWhenUsed/>
    <w:rsid w:val="00B527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279B"/>
    <w:rPr>
      <w:rFonts w:eastAsiaTheme="minorEastAsia"/>
      <w:sz w:val="24"/>
      <w:szCs w:val="24"/>
    </w:rPr>
  </w:style>
  <w:style w:type="character" w:styleId="FollowedHyperlink">
    <w:name w:val="FollowedHyperlink"/>
    <w:basedOn w:val="DefaultParagraphFont"/>
    <w:uiPriority w:val="99"/>
    <w:semiHidden/>
    <w:unhideWhenUsed/>
    <w:rsid w:val="000033D1"/>
    <w:rPr>
      <w:color w:val="954F72" w:themeColor="followedHyperlink"/>
      <w:u w:val="single"/>
    </w:rPr>
  </w:style>
  <w:style w:type="character" w:customStyle="1" w:styleId="Heading2Char">
    <w:name w:val="Heading 2 Char"/>
    <w:basedOn w:val="DefaultParagraphFont"/>
    <w:link w:val="Heading2"/>
    <w:uiPriority w:val="9"/>
    <w:rsid w:val="00966096"/>
    <w:rPr>
      <w:rFonts w:asciiTheme="majorHAnsi" w:eastAsiaTheme="majorEastAsia" w:hAnsiTheme="majorHAnsi" w:cstheme="majorBidi"/>
      <w:color w:val="2E74B5" w:themeColor="accent1" w:themeShade="BF"/>
      <w:sz w:val="26"/>
      <w:szCs w:val="26"/>
    </w:rPr>
  </w:style>
  <w:style w:type="character" w:customStyle="1" w:styleId="normaltextrun">
    <w:name w:val="normaltextrun"/>
    <w:rsid w:val="00287ED8"/>
  </w:style>
  <w:style w:type="paragraph" w:styleId="Title">
    <w:name w:val="Title"/>
    <w:basedOn w:val="Normal"/>
    <w:next w:val="Normal"/>
    <w:link w:val="TitleChar"/>
    <w:uiPriority w:val="10"/>
    <w:qFormat/>
    <w:rsid w:val="009B6E2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B6E2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B6E2B"/>
    <w:pPr>
      <w:numPr>
        <w:ilvl w:val="1"/>
      </w:numPr>
    </w:pPr>
    <w:rPr>
      <w:color w:val="5A5A5A" w:themeColor="text1" w:themeTint="A5"/>
      <w:spacing w:val="15"/>
      <w:sz w:val="22"/>
      <w:szCs w:val="22"/>
    </w:rPr>
  </w:style>
  <w:style w:type="character" w:customStyle="1" w:styleId="SubtitleChar">
    <w:name w:val="Subtitle Char"/>
    <w:basedOn w:val="DefaultParagraphFont"/>
    <w:link w:val="Subtitle"/>
    <w:uiPriority w:val="11"/>
    <w:rsid w:val="009B6E2B"/>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7170">
      <w:bodyDiv w:val="1"/>
      <w:marLeft w:val="0"/>
      <w:marRight w:val="0"/>
      <w:marTop w:val="0"/>
      <w:marBottom w:val="0"/>
      <w:divBdr>
        <w:top w:val="none" w:sz="0" w:space="0" w:color="auto"/>
        <w:left w:val="none" w:sz="0" w:space="0" w:color="auto"/>
        <w:bottom w:val="none" w:sz="0" w:space="0" w:color="auto"/>
        <w:right w:val="none" w:sz="0" w:space="0" w:color="auto"/>
      </w:divBdr>
    </w:div>
    <w:div w:id="256599720">
      <w:bodyDiv w:val="1"/>
      <w:marLeft w:val="0"/>
      <w:marRight w:val="0"/>
      <w:marTop w:val="0"/>
      <w:marBottom w:val="0"/>
      <w:divBdr>
        <w:top w:val="none" w:sz="0" w:space="0" w:color="auto"/>
        <w:left w:val="none" w:sz="0" w:space="0" w:color="auto"/>
        <w:bottom w:val="none" w:sz="0" w:space="0" w:color="auto"/>
        <w:right w:val="none" w:sz="0" w:space="0" w:color="auto"/>
      </w:divBdr>
    </w:div>
    <w:div w:id="758676656">
      <w:bodyDiv w:val="1"/>
      <w:marLeft w:val="0"/>
      <w:marRight w:val="0"/>
      <w:marTop w:val="0"/>
      <w:marBottom w:val="0"/>
      <w:divBdr>
        <w:top w:val="none" w:sz="0" w:space="0" w:color="auto"/>
        <w:left w:val="none" w:sz="0" w:space="0" w:color="auto"/>
        <w:bottom w:val="none" w:sz="0" w:space="0" w:color="auto"/>
        <w:right w:val="none" w:sz="0" w:space="0" w:color="auto"/>
      </w:divBdr>
    </w:div>
    <w:div w:id="1392654989">
      <w:bodyDiv w:val="1"/>
      <w:marLeft w:val="0"/>
      <w:marRight w:val="0"/>
      <w:marTop w:val="0"/>
      <w:marBottom w:val="0"/>
      <w:divBdr>
        <w:top w:val="none" w:sz="0" w:space="0" w:color="auto"/>
        <w:left w:val="none" w:sz="0" w:space="0" w:color="auto"/>
        <w:bottom w:val="none" w:sz="0" w:space="0" w:color="auto"/>
        <w:right w:val="none" w:sz="0" w:space="0" w:color="auto"/>
      </w:divBdr>
    </w:div>
    <w:div w:id="1672829254">
      <w:bodyDiv w:val="1"/>
      <w:marLeft w:val="0"/>
      <w:marRight w:val="0"/>
      <w:marTop w:val="0"/>
      <w:marBottom w:val="0"/>
      <w:divBdr>
        <w:top w:val="none" w:sz="0" w:space="0" w:color="auto"/>
        <w:left w:val="none" w:sz="0" w:space="0" w:color="auto"/>
        <w:bottom w:val="none" w:sz="0" w:space="0" w:color="auto"/>
        <w:right w:val="none" w:sz="0" w:space="0" w:color="auto"/>
      </w:divBdr>
    </w:div>
    <w:div w:id="1732536516">
      <w:bodyDiv w:val="1"/>
      <w:marLeft w:val="0"/>
      <w:marRight w:val="0"/>
      <w:marTop w:val="0"/>
      <w:marBottom w:val="0"/>
      <w:divBdr>
        <w:top w:val="none" w:sz="0" w:space="0" w:color="auto"/>
        <w:left w:val="none" w:sz="0" w:space="0" w:color="auto"/>
        <w:bottom w:val="none" w:sz="0" w:space="0" w:color="auto"/>
        <w:right w:val="none" w:sz="0" w:space="0" w:color="auto"/>
      </w:divBdr>
    </w:div>
    <w:div w:id="1781295732">
      <w:bodyDiv w:val="1"/>
      <w:marLeft w:val="0"/>
      <w:marRight w:val="0"/>
      <w:marTop w:val="0"/>
      <w:marBottom w:val="0"/>
      <w:divBdr>
        <w:top w:val="none" w:sz="0" w:space="0" w:color="auto"/>
        <w:left w:val="none" w:sz="0" w:space="0" w:color="auto"/>
        <w:bottom w:val="none" w:sz="0" w:space="0" w:color="auto"/>
        <w:right w:val="none" w:sz="0" w:space="0" w:color="auto"/>
      </w:divBdr>
    </w:div>
    <w:div w:id="1899902146">
      <w:bodyDiv w:val="1"/>
      <w:marLeft w:val="0"/>
      <w:marRight w:val="0"/>
      <w:marTop w:val="0"/>
      <w:marBottom w:val="0"/>
      <w:divBdr>
        <w:top w:val="none" w:sz="0" w:space="0" w:color="auto"/>
        <w:left w:val="none" w:sz="0" w:space="0" w:color="auto"/>
        <w:bottom w:val="none" w:sz="0" w:space="0" w:color="auto"/>
        <w:right w:val="none" w:sz="0" w:space="0" w:color="auto"/>
      </w:divBdr>
    </w:div>
    <w:div w:id="1972982087">
      <w:bodyDiv w:val="1"/>
      <w:marLeft w:val="0"/>
      <w:marRight w:val="0"/>
      <w:marTop w:val="0"/>
      <w:marBottom w:val="0"/>
      <w:divBdr>
        <w:top w:val="none" w:sz="0" w:space="0" w:color="auto"/>
        <w:left w:val="none" w:sz="0" w:space="0" w:color="auto"/>
        <w:bottom w:val="none" w:sz="0" w:space="0" w:color="auto"/>
        <w:right w:val="none" w:sz="0" w:space="0" w:color="auto"/>
      </w:divBdr>
    </w:div>
    <w:div w:id="209211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fat.gov.au/about-us/publications/Pages/performance-of-australian-aid-2014-15.aspx" TargetMode="External"/><Relationship Id="rId18" Type="http://schemas.openxmlformats.org/officeDocument/2006/relationships/hyperlink" Target="https://www.dfat.gov.au/sites/default/files/2016-17-australian-aid-budget-summary.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acfid.asn.au/sites/site.acfid/files/ACFID_Budget_Analysis_2019_FINAL_EDIT_4April.pdf%20p.%207" TargetMode="Externa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hyperlink" Target="https://www.dfat.gov.au/publications/development/performance-of-australian-aid-2018-19"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dfat.gov.au/about-us/publications/Pages/performance-of-australian-aid-2017-18" TargetMode="External"/><Relationship Id="rId20" Type="http://schemas.openxmlformats.org/officeDocument/2006/relationships/hyperlink" Target="https://www.aph.gov.au/api/qon/downloadattachment?attachmentId=87b386b7-8ee2-44d2-a9cc-0151f4dba33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aph.gov.au/api/qon/downloadattachment?attachmentId=87b386b7-8ee2-44d2-a9cc-0151f4dba330" TargetMode="External"/><Relationship Id="rId23" Type="http://schemas.openxmlformats.org/officeDocument/2006/relationships/hyperlink" Target="https://www.dfat.gov.au/sites/default/files/development-assistance-statistical-summary-2019-20.pdf" TargetMode="External"/><Relationship Id="rId28"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hyperlink" Target="https://www.dfat.gov.au/sites/default/files/2017-18-australian-aid-budget-summary.pdf"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dfat.gov.au/about-us/publications/Pages/performance-of-australian-aid-2015-16.aspx%20p.%2094" TargetMode="External"/><Relationship Id="rId22" Type="http://schemas.openxmlformats.org/officeDocument/2006/relationships/hyperlink" Target="https://www.dfat.gov.au/about-us/publications/Pages/statistical-summaries-australias-international-development-cooperation" TargetMode="External"/><Relationship Id="rId27"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dfat.gov.au/sites/default/files/development-for-all-evaluation-review.pdf" TargetMode="External"/><Relationship Id="rId1" Type="http://schemas.openxmlformats.org/officeDocument/2006/relationships/hyperlink" Target="https://www.dfat.gov.au/aid/how-we-measure-performance/ode/strategic-evaluations/Pages/development-for-all-evaluation"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BMI.ORG.AU\CBM\Main\CBM\PublicEngagement\2021%20ADDC\Aid%20budget%20and%20performance%20analysi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Disability AQC Question 1 - performance by sector</a:t>
            </a:r>
          </a:p>
        </c:rich>
      </c:tx>
      <c:layout>
        <c:manualLayout>
          <c:xMode val="edge"/>
          <c:yMode val="edge"/>
          <c:x val="0.156770602185893"/>
          <c:y val="3.224073078989790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'Q1'!$A$2</c:f>
              <c:strCache>
                <c:ptCount val="1"/>
                <c:pt idx="0">
                  <c:v>Whole of aid program</c:v>
                </c:pt>
              </c:strCache>
            </c:strRef>
          </c:tx>
          <c:spPr>
            <a:solidFill>
              <a:schemeClr val="accent1"/>
            </a:solidFill>
            <a:ln>
              <a:noFill/>
            </a:ln>
            <a:effectLst/>
          </c:spPr>
          <c:invertIfNegative val="0"/>
          <c:cat>
            <c:strRef>
              <c:f>'Q1'!$B$1:$F$1</c:f>
              <c:strCache>
                <c:ptCount val="5"/>
                <c:pt idx="0">
                  <c:v>2014/15</c:v>
                </c:pt>
                <c:pt idx="1">
                  <c:v>2015/16</c:v>
                </c:pt>
                <c:pt idx="2">
                  <c:v>2016/17</c:v>
                </c:pt>
                <c:pt idx="3">
                  <c:v>2017/18</c:v>
                </c:pt>
                <c:pt idx="4">
                  <c:v>2018/19</c:v>
                </c:pt>
              </c:strCache>
            </c:strRef>
          </c:cat>
          <c:val>
            <c:numRef>
              <c:f>'Q1'!$B$2:$F$2</c:f>
              <c:numCache>
                <c:formatCode>General</c:formatCode>
                <c:ptCount val="5"/>
                <c:pt idx="0">
                  <c:v>56</c:v>
                </c:pt>
                <c:pt idx="1">
                  <c:v>60</c:v>
                </c:pt>
                <c:pt idx="2">
                  <c:v>51</c:v>
                </c:pt>
                <c:pt idx="3">
                  <c:v>41</c:v>
                </c:pt>
                <c:pt idx="4">
                  <c:v>45</c:v>
                </c:pt>
              </c:numCache>
            </c:numRef>
          </c:val>
          <c:extLst>
            <c:ext xmlns:c16="http://schemas.microsoft.com/office/drawing/2014/chart" uri="{C3380CC4-5D6E-409C-BE32-E72D297353CC}">
              <c16:uniqueId val="{00000000-6923-4C79-9CD5-414017BCEDF1}"/>
            </c:ext>
          </c:extLst>
        </c:ser>
        <c:ser>
          <c:idx val="1"/>
          <c:order val="1"/>
          <c:tx>
            <c:strRef>
              <c:f>'Q1'!$A$3</c:f>
              <c:strCache>
                <c:ptCount val="1"/>
                <c:pt idx="0">
                  <c:v>Education</c:v>
                </c:pt>
              </c:strCache>
            </c:strRef>
          </c:tx>
          <c:spPr>
            <a:solidFill>
              <a:schemeClr val="accent2"/>
            </a:solidFill>
            <a:ln>
              <a:noFill/>
            </a:ln>
            <a:effectLst/>
          </c:spPr>
          <c:invertIfNegative val="0"/>
          <c:cat>
            <c:strRef>
              <c:f>'Q1'!$B$1:$F$1</c:f>
              <c:strCache>
                <c:ptCount val="5"/>
                <c:pt idx="0">
                  <c:v>2014/15</c:v>
                </c:pt>
                <c:pt idx="1">
                  <c:v>2015/16</c:v>
                </c:pt>
                <c:pt idx="2">
                  <c:v>2016/17</c:v>
                </c:pt>
                <c:pt idx="3">
                  <c:v>2017/18</c:v>
                </c:pt>
                <c:pt idx="4">
                  <c:v>2018/19</c:v>
                </c:pt>
              </c:strCache>
            </c:strRef>
          </c:cat>
          <c:val>
            <c:numRef>
              <c:f>'Q1'!$B$3:$F$3</c:f>
              <c:numCache>
                <c:formatCode>General</c:formatCode>
                <c:ptCount val="5"/>
                <c:pt idx="0">
                  <c:v>83</c:v>
                </c:pt>
                <c:pt idx="1">
                  <c:v>85</c:v>
                </c:pt>
                <c:pt idx="2">
                  <c:v>84</c:v>
                </c:pt>
                <c:pt idx="3">
                  <c:v>73</c:v>
                </c:pt>
                <c:pt idx="4">
                  <c:v>74</c:v>
                </c:pt>
              </c:numCache>
            </c:numRef>
          </c:val>
          <c:extLst>
            <c:ext xmlns:c16="http://schemas.microsoft.com/office/drawing/2014/chart" uri="{C3380CC4-5D6E-409C-BE32-E72D297353CC}">
              <c16:uniqueId val="{00000001-6923-4C79-9CD5-414017BCEDF1}"/>
            </c:ext>
          </c:extLst>
        </c:ser>
        <c:ser>
          <c:idx val="2"/>
          <c:order val="2"/>
          <c:tx>
            <c:strRef>
              <c:f>'Q1'!$A$4</c:f>
              <c:strCache>
                <c:ptCount val="1"/>
                <c:pt idx="0">
                  <c:v>Health</c:v>
                </c:pt>
              </c:strCache>
            </c:strRef>
          </c:tx>
          <c:spPr>
            <a:solidFill>
              <a:schemeClr val="accent3"/>
            </a:solidFill>
            <a:ln>
              <a:noFill/>
            </a:ln>
            <a:effectLst/>
          </c:spPr>
          <c:invertIfNegative val="0"/>
          <c:cat>
            <c:strRef>
              <c:f>'Q1'!$B$1:$F$1</c:f>
              <c:strCache>
                <c:ptCount val="5"/>
                <c:pt idx="0">
                  <c:v>2014/15</c:v>
                </c:pt>
                <c:pt idx="1">
                  <c:v>2015/16</c:v>
                </c:pt>
                <c:pt idx="2">
                  <c:v>2016/17</c:v>
                </c:pt>
                <c:pt idx="3">
                  <c:v>2017/18</c:v>
                </c:pt>
                <c:pt idx="4">
                  <c:v>2018/19</c:v>
                </c:pt>
              </c:strCache>
            </c:strRef>
          </c:cat>
          <c:val>
            <c:numRef>
              <c:f>'Q1'!$B$4:$F$4</c:f>
              <c:numCache>
                <c:formatCode>General</c:formatCode>
                <c:ptCount val="5"/>
                <c:pt idx="0">
                  <c:v>61</c:v>
                </c:pt>
                <c:pt idx="1">
                  <c:v>83</c:v>
                </c:pt>
                <c:pt idx="2">
                  <c:v>58</c:v>
                </c:pt>
                <c:pt idx="3">
                  <c:v>45</c:v>
                </c:pt>
                <c:pt idx="4">
                  <c:v>56</c:v>
                </c:pt>
              </c:numCache>
            </c:numRef>
          </c:val>
          <c:extLst>
            <c:ext xmlns:c16="http://schemas.microsoft.com/office/drawing/2014/chart" uri="{C3380CC4-5D6E-409C-BE32-E72D297353CC}">
              <c16:uniqueId val="{00000002-6923-4C79-9CD5-414017BCEDF1}"/>
            </c:ext>
          </c:extLst>
        </c:ser>
        <c:ser>
          <c:idx val="3"/>
          <c:order val="3"/>
          <c:tx>
            <c:strRef>
              <c:f>'Q1'!$A$5</c:f>
              <c:strCache>
                <c:ptCount val="1"/>
                <c:pt idx="0">
                  <c:v>Building resilience</c:v>
                </c:pt>
              </c:strCache>
            </c:strRef>
          </c:tx>
          <c:spPr>
            <a:solidFill>
              <a:schemeClr val="accent4"/>
            </a:solidFill>
            <a:ln>
              <a:noFill/>
            </a:ln>
            <a:effectLst/>
          </c:spPr>
          <c:invertIfNegative val="0"/>
          <c:cat>
            <c:strRef>
              <c:f>'Q1'!$B$1:$F$1</c:f>
              <c:strCache>
                <c:ptCount val="5"/>
                <c:pt idx="0">
                  <c:v>2014/15</c:v>
                </c:pt>
                <c:pt idx="1">
                  <c:v>2015/16</c:v>
                </c:pt>
                <c:pt idx="2">
                  <c:v>2016/17</c:v>
                </c:pt>
                <c:pt idx="3">
                  <c:v>2017/18</c:v>
                </c:pt>
                <c:pt idx="4">
                  <c:v>2018/19</c:v>
                </c:pt>
              </c:strCache>
            </c:strRef>
          </c:cat>
          <c:val>
            <c:numRef>
              <c:f>'Q1'!$B$5:$F$5</c:f>
              <c:numCache>
                <c:formatCode>General</c:formatCode>
                <c:ptCount val="5"/>
                <c:pt idx="0">
                  <c:v>51</c:v>
                </c:pt>
                <c:pt idx="1">
                  <c:v>59</c:v>
                </c:pt>
                <c:pt idx="2">
                  <c:v>53</c:v>
                </c:pt>
                <c:pt idx="3">
                  <c:v>41</c:v>
                </c:pt>
                <c:pt idx="4">
                  <c:v>53</c:v>
                </c:pt>
              </c:numCache>
            </c:numRef>
          </c:val>
          <c:extLst>
            <c:ext xmlns:c16="http://schemas.microsoft.com/office/drawing/2014/chart" uri="{C3380CC4-5D6E-409C-BE32-E72D297353CC}">
              <c16:uniqueId val="{00000003-6923-4C79-9CD5-414017BCEDF1}"/>
            </c:ext>
          </c:extLst>
        </c:ser>
        <c:ser>
          <c:idx val="4"/>
          <c:order val="4"/>
          <c:tx>
            <c:strRef>
              <c:f>'Q1'!$A$6</c:f>
              <c:strCache>
                <c:ptCount val="1"/>
                <c:pt idx="0">
                  <c:v>Effective governance</c:v>
                </c:pt>
              </c:strCache>
            </c:strRef>
          </c:tx>
          <c:spPr>
            <a:solidFill>
              <a:schemeClr val="accent5"/>
            </a:solidFill>
            <a:ln>
              <a:noFill/>
            </a:ln>
            <a:effectLst/>
          </c:spPr>
          <c:invertIfNegative val="0"/>
          <c:cat>
            <c:strRef>
              <c:f>'Q1'!$B$1:$F$1</c:f>
              <c:strCache>
                <c:ptCount val="5"/>
                <c:pt idx="0">
                  <c:v>2014/15</c:v>
                </c:pt>
                <c:pt idx="1">
                  <c:v>2015/16</c:v>
                </c:pt>
                <c:pt idx="2">
                  <c:v>2016/17</c:v>
                </c:pt>
                <c:pt idx="3">
                  <c:v>2017/18</c:v>
                </c:pt>
                <c:pt idx="4">
                  <c:v>2018/19</c:v>
                </c:pt>
              </c:strCache>
            </c:strRef>
          </c:cat>
          <c:val>
            <c:numRef>
              <c:f>'Q1'!$B$6:$F$6</c:f>
              <c:numCache>
                <c:formatCode>General</c:formatCode>
                <c:ptCount val="5"/>
                <c:pt idx="0">
                  <c:v>48</c:v>
                </c:pt>
                <c:pt idx="1">
                  <c:v>50</c:v>
                </c:pt>
                <c:pt idx="2">
                  <c:v>51</c:v>
                </c:pt>
                <c:pt idx="3">
                  <c:v>50</c:v>
                </c:pt>
                <c:pt idx="4">
                  <c:v>43</c:v>
                </c:pt>
              </c:numCache>
            </c:numRef>
          </c:val>
          <c:extLst>
            <c:ext xmlns:c16="http://schemas.microsoft.com/office/drawing/2014/chart" uri="{C3380CC4-5D6E-409C-BE32-E72D297353CC}">
              <c16:uniqueId val="{00000004-6923-4C79-9CD5-414017BCEDF1}"/>
            </c:ext>
          </c:extLst>
        </c:ser>
        <c:ser>
          <c:idx val="5"/>
          <c:order val="5"/>
          <c:tx>
            <c:strRef>
              <c:f>'Q1'!$A$7</c:f>
              <c:strCache>
                <c:ptCount val="1"/>
                <c:pt idx="0">
                  <c:v>Agriculture, fisheries and water</c:v>
                </c:pt>
              </c:strCache>
            </c:strRef>
          </c:tx>
          <c:spPr>
            <a:solidFill>
              <a:schemeClr val="accent6"/>
            </a:solidFill>
            <a:ln>
              <a:noFill/>
            </a:ln>
            <a:effectLst/>
          </c:spPr>
          <c:invertIfNegative val="0"/>
          <c:cat>
            <c:strRef>
              <c:f>'Q1'!$B$1:$F$1</c:f>
              <c:strCache>
                <c:ptCount val="5"/>
                <c:pt idx="0">
                  <c:v>2014/15</c:v>
                </c:pt>
                <c:pt idx="1">
                  <c:v>2015/16</c:v>
                </c:pt>
                <c:pt idx="2">
                  <c:v>2016/17</c:v>
                </c:pt>
                <c:pt idx="3">
                  <c:v>2017/18</c:v>
                </c:pt>
                <c:pt idx="4">
                  <c:v>2018/19</c:v>
                </c:pt>
              </c:strCache>
            </c:strRef>
          </c:cat>
          <c:val>
            <c:numRef>
              <c:f>'Q1'!$B$7:$F$7</c:f>
              <c:numCache>
                <c:formatCode>General</c:formatCode>
                <c:ptCount val="5"/>
                <c:pt idx="0">
                  <c:v>38</c:v>
                </c:pt>
                <c:pt idx="1">
                  <c:v>44</c:v>
                </c:pt>
                <c:pt idx="2">
                  <c:v>32</c:v>
                </c:pt>
                <c:pt idx="3">
                  <c:v>30</c:v>
                </c:pt>
                <c:pt idx="4">
                  <c:v>21</c:v>
                </c:pt>
              </c:numCache>
            </c:numRef>
          </c:val>
          <c:extLst>
            <c:ext xmlns:c16="http://schemas.microsoft.com/office/drawing/2014/chart" uri="{C3380CC4-5D6E-409C-BE32-E72D297353CC}">
              <c16:uniqueId val="{00000005-6923-4C79-9CD5-414017BCEDF1}"/>
            </c:ext>
          </c:extLst>
        </c:ser>
        <c:ser>
          <c:idx val="6"/>
          <c:order val="6"/>
          <c:tx>
            <c:strRef>
              <c:f>'Q1'!$A$8</c:f>
              <c:strCache>
                <c:ptCount val="1"/>
                <c:pt idx="0">
                  <c:v>Infrastructure &amp; trade</c:v>
                </c:pt>
              </c:strCache>
            </c:strRef>
          </c:tx>
          <c:spPr>
            <a:solidFill>
              <a:schemeClr val="accent1">
                <a:lumMod val="60000"/>
              </a:schemeClr>
            </a:solidFill>
            <a:ln>
              <a:noFill/>
            </a:ln>
            <a:effectLst/>
          </c:spPr>
          <c:invertIfNegative val="0"/>
          <c:cat>
            <c:strRef>
              <c:f>'Q1'!$B$1:$F$1</c:f>
              <c:strCache>
                <c:ptCount val="5"/>
                <c:pt idx="0">
                  <c:v>2014/15</c:v>
                </c:pt>
                <c:pt idx="1">
                  <c:v>2015/16</c:v>
                </c:pt>
                <c:pt idx="2">
                  <c:v>2016/17</c:v>
                </c:pt>
                <c:pt idx="3">
                  <c:v>2017/18</c:v>
                </c:pt>
                <c:pt idx="4">
                  <c:v>2018/19</c:v>
                </c:pt>
              </c:strCache>
            </c:strRef>
          </c:cat>
          <c:val>
            <c:numRef>
              <c:f>'Q1'!$B$8:$F$8</c:f>
              <c:numCache>
                <c:formatCode>General</c:formatCode>
                <c:ptCount val="5"/>
                <c:pt idx="0">
                  <c:v>38</c:v>
                </c:pt>
                <c:pt idx="1">
                  <c:v>37</c:v>
                </c:pt>
                <c:pt idx="2">
                  <c:v>35</c:v>
                </c:pt>
                <c:pt idx="3">
                  <c:v>17</c:v>
                </c:pt>
                <c:pt idx="4">
                  <c:v>23</c:v>
                </c:pt>
              </c:numCache>
            </c:numRef>
          </c:val>
          <c:extLst>
            <c:ext xmlns:c16="http://schemas.microsoft.com/office/drawing/2014/chart" uri="{C3380CC4-5D6E-409C-BE32-E72D297353CC}">
              <c16:uniqueId val="{00000006-6923-4C79-9CD5-414017BCEDF1}"/>
            </c:ext>
          </c:extLst>
        </c:ser>
        <c:dLbls>
          <c:showLegendKey val="0"/>
          <c:showVal val="0"/>
          <c:showCatName val="0"/>
          <c:showSerName val="0"/>
          <c:showPercent val="0"/>
          <c:showBubbleSize val="0"/>
        </c:dLbls>
        <c:gapWidth val="219"/>
        <c:overlap val="-27"/>
        <c:axId val="464505600"/>
        <c:axId val="464507240"/>
      </c:barChart>
      <c:catAx>
        <c:axId val="464505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07240"/>
        <c:crosses val="autoZero"/>
        <c:auto val="1"/>
        <c:lblAlgn val="ctr"/>
        <c:lblOffset val="100"/>
        <c:noMultiLvlLbl val="0"/>
      </c:catAx>
      <c:valAx>
        <c:axId val="464507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4505600"/>
        <c:crosses val="autoZero"/>
        <c:crossBetween val="between"/>
      </c:valAx>
      <c:spPr>
        <a:noFill/>
        <a:ln>
          <a:noFill/>
        </a:ln>
        <a:effectLst/>
      </c:spPr>
    </c:plotArea>
    <c:legend>
      <c:legendPos val="b"/>
      <c:layout>
        <c:manualLayout>
          <c:xMode val="edge"/>
          <c:yMode val="edge"/>
          <c:x val="5.5409065565961604E-2"/>
          <c:y val="0.74985915862014751"/>
          <c:w val="0.85396597466569346"/>
          <c:h val="0.2037058909303003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r>
              <a:rPr lang="en-AU"/>
              <a:t>Disability AQC Question 2 - performance by sector</a:t>
            </a:r>
          </a:p>
        </c:rich>
      </c:tx>
      <c:layout>
        <c:manualLayout>
          <c:xMode val="edge"/>
          <c:yMode val="edge"/>
          <c:x val="0.22061773807657759"/>
          <c:y val="0"/>
        </c:manualLayout>
      </c:layout>
      <c:overlay val="0"/>
      <c:spPr>
        <a:noFill/>
        <a:ln>
          <a:noFill/>
        </a:ln>
        <a:effectLst/>
      </c:spPr>
      <c:txPr>
        <a:bodyPr rot="0" spcFirstLastPara="1" vertOverflow="ellipsis" vert="horz" wrap="square" anchor="ctr" anchorCtr="1"/>
        <a:lstStyle/>
        <a:p>
          <a:pPr algn="ct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'Q2'!$A$2</c:f>
              <c:strCache>
                <c:ptCount val="1"/>
                <c:pt idx="0">
                  <c:v>Whole of aid program</c:v>
                </c:pt>
              </c:strCache>
            </c:strRef>
          </c:tx>
          <c:spPr>
            <a:solidFill>
              <a:schemeClr val="accent1"/>
            </a:solidFill>
            <a:ln>
              <a:noFill/>
            </a:ln>
            <a:effectLst/>
          </c:spPr>
          <c:invertIfNegative val="0"/>
          <c:cat>
            <c:strRef>
              <c:f>'Q2'!$B$1:$F$1</c:f>
              <c:strCache>
                <c:ptCount val="5"/>
                <c:pt idx="0">
                  <c:v>2014/15</c:v>
                </c:pt>
                <c:pt idx="1">
                  <c:v>2015/16</c:v>
                </c:pt>
                <c:pt idx="2">
                  <c:v>2016/17</c:v>
                </c:pt>
                <c:pt idx="3">
                  <c:v>2017/18</c:v>
                </c:pt>
                <c:pt idx="4">
                  <c:v>2018/19</c:v>
                </c:pt>
              </c:strCache>
            </c:strRef>
          </c:cat>
          <c:val>
            <c:numRef>
              <c:f>'Q2'!$B$2:$F$2</c:f>
              <c:numCache>
                <c:formatCode>General</c:formatCode>
                <c:ptCount val="5"/>
                <c:pt idx="0">
                  <c:v>48</c:v>
                </c:pt>
                <c:pt idx="1">
                  <c:v>53</c:v>
                </c:pt>
                <c:pt idx="2">
                  <c:v>42</c:v>
                </c:pt>
                <c:pt idx="3">
                  <c:v>37</c:v>
                </c:pt>
                <c:pt idx="4">
                  <c:v>40</c:v>
                </c:pt>
              </c:numCache>
            </c:numRef>
          </c:val>
          <c:extLst>
            <c:ext xmlns:c16="http://schemas.microsoft.com/office/drawing/2014/chart" uri="{C3380CC4-5D6E-409C-BE32-E72D297353CC}">
              <c16:uniqueId val="{00000000-F786-4138-B910-635CC0262F64}"/>
            </c:ext>
          </c:extLst>
        </c:ser>
        <c:ser>
          <c:idx val="1"/>
          <c:order val="1"/>
          <c:tx>
            <c:strRef>
              <c:f>'Q2'!$A$3</c:f>
              <c:strCache>
                <c:ptCount val="1"/>
                <c:pt idx="0">
                  <c:v>Education</c:v>
                </c:pt>
              </c:strCache>
            </c:strRef>
          </c:tx>
          <c:spPr>
            <a:solidFill>
              <a:schemeClr val="accent2"/>
            </a:solidFill>
            <a:ln>
              <a:noFill/>
            </a:ln>
            <a:effectLst/>
          </c:spPr>
          <c:invertIfNegative val="0"/>
          <c:cat>
            <c:strRef>
              <c:f>'Q2'!$B$1:$F$1</c:f>
              <c:strCache>
                <c:ptCount val="5"/>
                <c:pt idx="0">
                  <c:v>2014/15</c:v>
                </c:pt>
                <c:pt idx="1">
                  <c:v>2015/16</c:v>
                </c:pt>
                <c:pt idx="2">
                  <c:v>2016/17</c:v>
                </c:pt>
                <c:pt idx="3">
                  <c:v>2017/18</c:v>
                </c:pt>
                <c:pt idx="4">
                  <c:v>2018/19</c:v>
                </c:pt>
              </c:strCache>
            </c:strRef>
          </c:cat>
          <c:val>
            <c:numRef>
              <c:f>'Q2'!$B$3:$F$3</c:f>
              <c:numCache>
                <c:formatCode>General</c:formatCode>
                <c:ptCount val="5"/>
                <c:pt idx="0">
                  <c:v>69</c:v>
                </c:pt>
                <c:pt idx="1">
                  <c:v>80</c:v>
                </c:pt>
                <c:pt idx="2">
                  <c:v>67</c:v>
                </c:pt>
                <c:pt idx="3">
                  <c:v>55</c:v>
                </c:pt>
                <c:pt idx="4">
                  <c:v>60</c:v>
                </c:pt>
              </c:numCache>
            </c:numRef>
          </c:val>
          <c:extLst>
            <c:ext xmlns:c16="http://schemas.microsoft.com/office/drawing/2014/chart" uri="{C3380CC4-5D6E-409C-BE32-E72D297353CC}">
              <c16:uniqueId val="{00000001-F786-4138-B910-635CC0262F64}"/>
            </c:ext>
          </c:extLst>
        </c:ser>
        <c:ser>
          <c:idx val="2"/>
          <c:order val="2"/>
          <c:tx>
            <c:strRef>
              <c:f>'Q2'!$A$4</c:f>
              <c:strCache>
                <c:ptCount val="1"/>
                <c:pt idx="0">
                  <c:v>Health</c:v>
                </c:pt>
              </c:strCache>
            </c:strRef>
          </c:tx>
          <c:spPr>
            <a:solidFill>
              <a:schemeClr val="accent3"/>
            </a:solidFill>
            <a:ln>
              <a:noFill/>
            </a:ln>
            <a:effectLst/>
          </c:spPr>
          <c:invertIfNegative val="0"/>
          <c:cat>
            <c:strRef>
              <c:f>'Q2'!$B$1:$F$1</c:f>
              <c:strCache>
                <c:ptCount val="5"/>
                <c:pt idx="0">
                  <c:v>2014/15</c:v>
                </c:pt>
                <c:pt idx="1">
                  <c:v>2015/16</c:v>
                </c:pt>
                <c:pt idx="2">
                  <c:v>2016/17</c:v>
                </c:pt>
                <c:pt idx="3">
                  <c:v>2017/18</c:v>
                </c:pt>
                <c:pt idx="4">
                  <c:v>2018/19</c:v>
                </c:pt>
              </c:strCache>
            </c:strRef>
          </c:cat>
          <c:val>
            <c:numRef>
              <c:f>'Q2'!$B$4:$F$4</c:f>
              <c:numCache>
                <c:formatCode>General</c:formatCode>
                <c:ptCount val="5"/>
                <c:pt idx="0">
                  <c:v>49</c:v>
                </c:pt>
                <c:pt idx="1">
                  <c:v>76</c:v>
                </c:pt>
                <c:pt idx="2">
                  <c:v>50</c:v>
                </c:pt>
                <c:pt idx="3">
                  <c:v>45</c:v>
                </c:pt>
                <c:pt idx="4">
                  <c:v>58</c:v>
                </c:pt>
              </c:numCache>
            </c:numRef>
          </c:val>
          <c:extLst>
            <c:ext xmlns:c16="http://schemas.microsoft.com/office/drawing/2014/chart" uri="{C3380CC4-5D6E-409C-BE32-E72D297353CC}">
              <c16:uniqueId val="{00000002-F786-4138-B910-635CC0262F64}"/>
            </c:ext>
          </c:extLst>
        </c:ser>
        <c:ser>
          <c:idx val="3"/>
          <c:order val="3"/>
          <c:tx>
            <c:strRef>
              <c:f>'Q2'!$A$5</c:f>
              <c:strCache>
                <c:ptCount val="1"/>
                <c:pt idx="0">
                  <c:v>Building resilience</c:v>
                </c:pt>
              </c:strCache>
            </c:strRef>
          </c:tx>
          <c:spPr>
            <a:solidFill>
              <a:schemeClr val="accent4"/>
            </a:solidFill>
            <a:ln>
              <a:noFill/>
            </a:ln>
            <a:effectLst/>
          </c:spPr>
          <c:invertIfNegative val="0"/>
          <c:cat>
            <c:strRef>
              <c:f>'Q2'!$B$1:$F$1</c:f>
              <c:strCache>
                <c:ptCount val="5"/>
                <c:pt idx="0">
                  <c:v>2014/15</c:v>
                </c:pt>
                <c:pt idx="1">
                  <c:v>2015/16</c:v>
                </c:pt>
                <c:pt idx="2">
                  <c:v>2016/17</c:v>
                </c:pt>
                <c:pt idx="3">
                  <c:v>2017/18</c:v>
                </c:pt>
                <c:pt idx="4">
                  <c:v>2018/19</c:v>
                </c:pt>
              </c:strCache>
            </c:strRef>
          </c:cat>
          <c:val>
            <c:numRef>
              <c:f>'Q2'!$B$5:$F$5</c:f>
              <c:numCache>
                <c:formatCode>General</c:formatCode>
                <c:ptCount val="5"/>
                <c:pt idx="0">
                  <c:v>41</c:v>
                </c:pt>
                <c:pt idx="1">
                  <c:v>59</c:v>
                </c:pt>
                <c:pt idx="2">
                  <c:v>47</c:v>
                </c:pt>
                <c:pt idx="3">
                  <c:v>38</c:v>
                </c:pt>
                <c:pt idx="4">
                  <c:v>47</c:v>
                </c:pt>
              </c:numCache>
            </c:numRef>
          </c:val>
          <c:extLst>
            <c:ext xmlns:c16="http://schemas.microsoft.com/office/drawing/2014/chart" uri="{C3380CC4-5D6E-409C-BE32-E72D297353CC}">
              <c16:uniqueId val="{00000003-F786-4138-B910-635CC0262F64}"/>
            </c:ext>
          </c:extLst>
        </c:ser>
        <c:ser>
          <c:idx val="4"/>
          <c:order val="4"/>
          <c:tx>
            <c:strRef>
              <c:f>'Q2'!$A$6</c:f>
              <c:strCache>
                <c:ptCount val="1"/>
                <c:pt idx="0">
                  <c:v>Effective governance</c:v>
                </c:pt>
              </c:strCache>
            </c:strRef>
          </c:tx>
          <c:spPr>
            <a:solidFill>
              <a:schemeClr val="accent5"/>
            </a:solidFill>
            <a:ln>
              <a:noFill/>
            </a:ln>
            <a:effectLst/>
          </c:spPr>
          <c:invertIfNegative val="0"/>
          <c:cat>
            <c:strRef>
              <c:f>'Q2'!$B$1:$F$1</c:f>
              <c:strCache>
                <c:ptCount val="5"/>
                <c:pt idx="0">
                  <c:v>2014/15</c:v>
                </c:pt>
                <c:pt idx="1">
                  <c:v>2015/16</c:v>
                </c:pt>
                <c:pt idx="2">
                  <c:v>2016/17</c:v>
                </c:pt>
                <c:pt idx="3">
                  <c:v>2017/18</c:v>
                </c:pt>
                <c:pt idx="4">
                  <c:v>2018/19</c:v>
                </c:pt>
              </c:strCache>
            </c:strRef>
          </c:cat>
          <c:val>
            <c:numRef>
              <c:f>'Q2'!$B$6:$F$6</c:f>
              <c:numCache>
                <c:formatCode>General</c:formatCode>
                <c:ptCount val="5"/>
                <c:pt idx="0">
                  <c:v>46</c:v>
                </c:pt>
                <c:pt idx="1">
                  <c:v>44</c:v>
                </c:pt>
                <c:pt idx="2">
                  <c:v>40</c:v>
                </c:pt>
                <c:pt idx="3">
                  <c:v>46</c:v>
                </c:pt>
                <c:pt idx="4">
                  <c:v>38</c:v>
                </c:pt>
              </c:numCache>
            </c:numRef>
          </c:val>
          <c:extLst>
            <c:ext xmlns:c16="http://schemas.microsoft.com/office/drawing/2014/chart" uri="{C3380CC4-5D6E-409C-BE32-E72D297353CC}">
              <c16:uniqueId val="{00000004-F786-4138-B910-635CC0262F64}"/>
            </c:ext>
          </c:extLst>
        </c:ser>
        <c:ser>
          <c:idx val="5"/>
          <c:order val="5"/>
          <c:tx>
            <c:strRef>
              <c:f>'Q2'!$A$7</c:f>
              <c:strCache>
                <c:ptCount val="1"/>
                <c:pt idx="0">
                  <c:v>Agriculture, fisheries and water</c:v>
                </c:pt>
              </c:strCache>
            </c:strRef>
          </c:tx>
          <c:spPr>
            <a:solidFill>
              <a:schemeClr val="accent6"/>
            </a:solidFill>
            <a:ln>
              <a:noFill/>
            </a:ln>
            <a:effectLst/>
          </c:spPr>
          <c:invertIfNegative val="0"/>
          <c:cat>
            <c:strRef>
              <c:f>'Q2'!$B$1:$F$1</c:f>
              <c:strCache>
                <c:ptCount val="5"/>
                <c:pt idx="0">
                  <c:v>2014/15</c:v>
                </c:pt>
                <c:pt idx="1">
                  <c:v>2015/16</c:v>
                </c:pt>
                <c:pt idx="2">
                  <c:v>2016/17</c:v>
                </c:pt>
                <c:pt idx="3">
                  <c:v>2017/18</c:v>
                </c:pt>
                <c:pt idx="4">
                  <c:v>2018/19</c:v>
                </c:pt>
              </c:strCache>
            </c:strRef>
          </c:cat>
          <c:val>
            <c:numRef>
              <c:f>'Q2'!$B$7:$F$7</c:f>
              <c:numCache>
                <c:formatCode>General</c:formatCode>
                <c:ptCount val="5"/>
                <c:pt idx="0">
                  <c:v>31</c:v>
                </c:pt>
                <c:pt idx="1">
                  <c:v>28</c:v>
                </c:pt>
                <c:pt idx="2">
                  <c:v>27</c:v>
                </c:pt>
                <c:pt idx="3">
                  <c:v>25</c:v>
                </c:pt>
                <c:pt idx="4">
                  <c:v>18</c:v>
                </c:pt>
              </c:numCache>
            </c:numRef>
          </c:val>
          <c:extLst>
            <c:ext xmlns:c16="http://schemas.microsoft.com/office/drawing/2014/chart" uri="{C3380CC4-5D6E-409C-BE32-E72D297353CC}">
              <c16:uniqueId val="{00000005-F786-4138-B910-635CC0262F64}"/>
            </c:ext>
          </c:extLst>
        </c:ser>
        <c:ser>
          <c:idx val="6"/>
          <c:order val="6"/>
          <c:tx>
            <c:strRef>
              <c:f>'Q2'!$A$8</c:f>
              <c:strCache>
                <c:ptCount val="1"/>
                <c:pt idx="0">
                  <c:v>Infrastructure &amp; trade</c:v>
                </c:pt>
              </c:strCache>
            </c:strRef>
          </c:tx>
          <c:spPr>
            <a:solidFill>
              <a:schemeClr val="accent1">
                <a:lumMod val="60000"/>
              </a:schemeClr>
            </a:solidFill>
            <a:ln>
              <a:noFill/>
            </a:ln>
            <a:effectLst/>
          </c:spPr>
          <c:invertIfNegative val="0"/>
          <c:cat>
            <c:strRef>
              <c:f>'Q2'!$B$1:$F$1</c:f>
              <c:strCache>
                <c:ptCount val="5"/>
                <c:pt idx="0">
                  <c:v>2014/15</c:v>
                </c:pt>
                <c:pt idx="1">
                  <c:v>2015/16</c:v>
                </c:pt>
                <c:pt idx="2">
                  <c:v>2016/17</c:v>
                </c:pt>
                <c:pt idx="3">
                  <c:v>2017/18</c:v>
                </c:pt>
                <c:pt idx="4">
                  <c:v>2018/19</c:v>
                </c:pt>
              </c:strCache>
            </c:strRef>
          </c:cat>
          <c:val>
            <c:numRef>
              <c:f>'Q2'!$B$8:$F$8</c:f>
              <c:numCache>
                <c:formatCode>General</c:formatCode>
                <c:ptCount val="5"/>
                <c:pt idx="0">
                  <c:v>28</c:v>
                </c:pt>
                <c:pt idx="1">
                  <c:v>30</c:v>
                </c:pt>
                <c:pt idx="2">
                  <c:v>27</c:v>
                </c:pt>
                <c:pt idx="3">
                  <c:v>16</c:v>
                </c:pt>
                <c:pt idx="4">
                  <c:v>22</c:v>
                </c:pt>
              </c:numCache>
            </c:numRef>
          </c:val>
          <c:extLst>
            <c:ext xmlns:c16="http://schemas.microsoft.com/office/drawing/2014/chart" uri="{C3380CC4-5D6E-409C-BE32-E72D297353CC}">
              <c16:uniqueId val="{00000006-F786-4138-B910-635CC0262F64}"/>
            </c:ext>
          </c:extLst>
        </c:ser>
        <c:dLbls>
          <c:showLegendKey val="0"/>
          <c:showVal val="0"/>
          <c:showCatName val="0"/>
          <c:showSerName val="0"/>
          <c:showPercent val="0"/>
          <c:showBubbleSize val="0"/>
        </c:dLbls>
        <c:gapWidth val="219"/>
        <c:overlap val="-27"/>
        <c:axId val="461222376"/>
        <c:axId val="461223360"/>
      </c:barChart>
      <c:catAx>
        <c:axId val="461222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223360"/>
        <c:crosses val="autoZero"/>
        <c:auto val="1"/>
        <c:lblAlgn val="ctr"/>
        <c:lblOffset val="100"/>
        <c:noMultiLvlLbl val="0"/>
      </c:catAx>
      <c:valAx>
        <c:axId val="461223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222376"/>
        <c:crosses val="autoZero"/>
        <c:crossBetween val="between"/>
      </c:valAx>
      <c:spPr>
        <a:noFill/>
        <a:ln>
          <a:noFill/>
        </a:ln>
        <a:effectLst/>
      </c:spPr>
    </c:plotArea>
    <c:legend>
      <c:legendPos val="b"/>
      <c:layout>
        <c:manualLayout>
          <c:xMode val="edge"/>
          <c:yMode val="edge"/>
          <c:x val="3.5164909428638744E-2"/>
          <c:y val="0.71316126997040497"/>
          <c:w val="0.86662117527358196"/>
          <c:h val="0.2274321959755030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Disability AQC</a:t>
            </a:r>
            <a:r>
              <a:rPr lang="en-AU" baseline="0"/>
              <a:t> Question 2 </a:t>
            </a:r>
          </a:p>
          <a:p>
            <a:pPr>
              <a:defRPr/>
            </a:pPr>
            <a:r>
              <a:rPr lang="en-AU" baseline="0"/>
              <a:t>- performance across whole of aid program</a:t>
            </a:r>
            <a:endParaRPr lang="en-AU"/>
          </a:p>
        </c:rich>
      </c:tx>
      <c:layout>
        <c:manualLayout>
          <c:xMode val="edge"/>
          <c:yMode val="edge"/>
          <c:x val="0.15448944664347347"/>
          <c:y val="5.02800441799978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Sheet1!$A$2</c:f>
              <c:strCache>
                <c:ptCount val="1"/>
                <c:pt idx="0">
                  <c:v>Annual data</c:v>
                </c:pt>
              </c:strCache>
            </c:strRef>
          </c:tx>
          <c:spPr>
            <a:solidFill>
              <a:schemeClr val="accent1"/>
            </a:solidFill>
            <a:ln>
              <a:noFill/>
            </a:ln>
            <a:effectLst/>
          </c:spPr>
          <c:invertIfNegative val="0"/>
          <c:cat>
            <c:strRef>
              <c:f>Sheet1!$B$1:$F$1</c:f>
              <c:strCache>
                <c:ptCount val="5"/>
                <c:pt idx="0">
                  <c:v>2014/15</c:v>
                </c:pt>
                <c:pt idx="1">
                  <c:v>2015/16</c:v>
                </c:pt>
                <c:pt idx="2">
                  <c:v>2016/17</c:v>
                </c:pt>
                <c:pt idx="3">
                  <c:v>2017/18</c:v>
                </c:pt>
                <c:pt idx="4">
                  <c:v>2018/19</c:v>
                </c:pt>
              </c:strCache>
            </c:strRef>
          </c:cat>
          <c:val>
            <c:numRef>
              <c:f>Sheet1!$B$2:$F$2</c:f>
              <c:numCache>
                <c:formatCode>General</c:formatCode>
                <c:ptCount val="5"/>
                <c:pt idx="0">
                  <c:v>48</c:v>
                </c:pt>
                <c:pt idx="1">
                  <c:v>53</c:v>
                </c:pt>
                <c:pt idx="2">
                  <c:v>42</c:v>
                </c:pt>
                <c:pt idx="3">
                  <c:v>37</c:v>
                </c:pt>
                <c:pt idx="4">
                  <c:v>40</c:v>
                </c:pt>
              </c:numCache>
            </c:numRef>
          </c:val>
          <c:extLst>
            <c:ext xmlns:c16="http://schemas.microsoft.com/office/drawing/2014/chart" uri="{C3380CC4-5D6E-409C-BE32-E72D297353CC}">
              <c16:uniqueId val="{00000000-00E6-43CF-B752-AC18AEC6778F}"/>
            </c:ext>
          </c:extLst>
        </c:ser>
        <c:dLbls>
          <c:showLegendKey val="0"/>
          <c:showVal val="0"/>
          <c:showCatName val="0"/>
          <c:showSerName val="0"/>
          <c:showPercent val="0"/>
          <c:showBubbleSize val="0"/>
        </c:dLbls>
        <c:gapWidth val="219"/>
        <c:overlap val="-27"/>
        <c:axId val="450156248"/>
        <c:axId val="450158872"/>
      </c:barChart>
      <c:lineChart>
        <c:grouping val="standard"/>
        <c:varyColors val="0"/>
        <c:ser>
          <c:idx val="1"/>
          <c:order val="1"/>
          <c:tx>
            <c:strRef>
              <c:f>Sheet1!$A$3</c:f>
              <c:strCache>
                <c:ptCount val="1"/>
                <c:pt idx="0">
                  <c:v>Average</c:v>
                </c:pt>
              </c:strCache>
            </c:strRef>
          </c:tx>
          <c:spPr>
            <a:ln w="28575" cap="rnd">
              <a:solidFill>
                <a:schemeClr val="accent2"/>
              </a:solidFill>
              <a:round/>
            </a:ln>
            <a:effectLst/>
          </c:spPr>
          <c:marker>
            <c:symbol val="none"/>
          </c:marker>
          <c:cat>
            <c:strRef>
              <c:f>Sheet1!$B$1:$F$1</c:f>
              <c:strCache>
                <c:ptCount val="5"/>
                <c:pt idx="0">
                  <c:v>2014/15</c:v>
                </c:pt>
                <c:pt idx="1">
                  <c:v>2015/16</c:v>
                </c:pt>
                <c:pt idx="2">
                  <c:v>2016/17</c:v>
                </c:pt>
                <c:pt idx="3">
                  <c:v>2017/18</c:v>
                </c:pt>
                <c:pt idx="4">
                  <c:v>2018/19</c:v>
                </c:pt>
              </c:strCache>
            </c:strRef>
          </c:cat>
          <c:val>
            <c:numRef>
              <c:f>Sheet1!$B$3:$F$3</c:f>
              <c:numCache>
                <c:formatCode>General</c:formatCode>
                <c:ptCount val="5"/>
                <c:pt idx="0">
                  <c:v>44</c:v>
                </c:pt>
                <c:pt idx="1">
                  <c:v>44</c:v>
                </c:pt>
                <c:pt idx="2">
                  <c:v>44</c:v>
                </c:pt>
                <c:pt idx="3">
                  <c:v>44</c:v>
                </c:pt>
                <c:pt idx="4">
                  <c:v>44</c:v>
                </c:pt>
              </c:numCache>
            </c:numRef>
          </c:val>
          <c:smooth val="0"/>
          <c:extLst>
            <c:ext xmlns:c16="http://schemas.microsoft.com/office/drawing/2014/chart" uri="{C3380CC4-5D6E-409C-BE32-E72D297353CC}">
              <c16:uniqueId val="{00000001-00E6-43CF-B752-AC18AEC6778F}"/>
            </c:ext>
          </c:extLst>
        </c:ser>
        <c:dLbls>
          <c:showLegendKey val="0"/>
          <c:showVal val="0"/>
          <c:showCatName val="0"/>
          <c:showSerName val="0"/>
          <c:showPercent val="0"/>
          <c:showBubbleSize val="0"/>
        </c:dLbls>
        <c:marker val="1"/>
        <c:smooth val="0"/>
        <c:axId val="450156248"/>
        <c:axId val="450158872"/>
      </c:lineChart>
      <c:catAx>
        <c:axId val="4501562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58872"/>
        <c:crosses val="autoZero"/>
        <c:auto val="1"/>
        <c:lblAlgn val="ctr"/>
        <c:lblOffset val="100"/>
        <c:noMultiLvlLbl val="0"/>
      </c:catAx>
      <c:valAx>
        <c:axId val="450158872"/>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5015624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AU"/>
              <a:t>Disability AQC Question 1 </a:t>
            </a:r>
          </a:p>
          <a:p>
            <a:pPr>
              <a:defRPr/>
            </a:pPr>
            <a:r>
              <a:rPr lang="en-AU"/>
              <a:t>- performance across whole of aid program</a:t>
            </a:r>
          </a:p>
        </c:rich>
      </c:tx>
      <c:layout>
        <c:manualLayout>
          <c:xMode val="edge"/>
          <c:yMode val="edge"/>
          <c:x val="0.10130576436417281"/>
          <c:y val="5.4607508532423209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Sheet1!$A$13</c:f>
              <c:strCache>
                <c:ptCount val="1"/>
                <c:pt idx="0">
                  <c:v>Annual data</c:v>
                </c:pt>
              </c:strCache>
            </c:strRef>
          </c:tx>
          <c:spPr>
            <a:solidFill>
              <a:schemeClr val="accent1"/>
            </a:solidFill>
            <a:ln>
              <a:noFill/>
            </a:ln>
            <a:effectLst/>
          </c:spPr>
          <c:invertIfNegative val="0"/>
          <c:cat>
            <c:strRef>
              <c:f>Sheet1!$B$12:$F$12</c:f>
              <c:strCache>
                <c:ptCount val="5"/>
                <c:pt idx="0">
                  <c:v>2014/15</c:v>
                </c:pt>
                <c:pt idx="1">
                  <c:v>2015/16</c:v>
                </c:pt>
                <c:pt idx="2">
                  <c:v>2016/17</c:v>
                </c:pt>
                <c:pt idx="3">
                  <c:v>2017/18</c:v>
                </c:pt>
                <c:pt idx="4">
                  <c:v>2018/19</c:v>
                </c:pt>
              </c:strCache>
            </c:strRef>
          </c:cat>
          <c:val>
            <c:numRef>
              <c:f>Sheet1!$B$13:$F$13</c:f>
              <c:numCache>
                <c:formatCode>General</c:formatCode>
                <c:ptCount val="5"/>
                <c:pt idx="0">
                  <c:v>56</c:v>
                </c:pt>
                <c:pt idx="1">
                  <c:v>60</c:v>
                </c:pt>
                <c:pt idx="2">
                  <c:v>51</c:v>
                </c:pt>
                <c:pt idx="3">
                  <c:v>41</c:v>
                </c:pt>
                <c:pt idx="4">
                  <c:v>45</c:v>
                </c:pt>
              </c:numCache>
            </c:numRef>
          </c:val>
          <c:extLst>
            <c:ext xmlns:c16="http://schemas.microsoft.com/office/drawing/2014/chart" uri="{C3380CC4-5D6E-409C-BE32-E72D297353CC}">
              <c16:uniqueId val="{00000000-EC61-4968-8924-48CFE3E2E3CD}"/>
            </c:ext>
          </c:extLst>
        </c:ser>
        <c:dLbls>
          <c:showLegendKey val="0"/>
          <c:showVal val="0"/>
          <c:showCatName val="0"/>
          <c:showSerName val="0"/>
          <c:showPercent val="0"/>
          <c:showBubbleSize val="0"/>
        </c:dLbls>
        <c:gapWidth val="219"/>
        <c:overlap val="-27"/>
        <c:axId val="537217688"/>
        <c:axId val="537217360"/>
      </c:barChart>
      <c:lineChart>
        <c:grouping val="standard"/>
        <c:varyColors val="0"/>
        <c:ser>
          <c:idx val="1"/>
          <c:order val="1"/>
          <c:tx>
            <c:strRef>
              <c:f>Sheet1!$A$14</c:f>
              <c:strCache>
                <c:ptCount val="1"/>
                <c:pt idx="0">
                  <c:v>Average</c:v>
                </c:pt>
              </c:strCache>
            </c:strRef>
          </c:tx>
          <c:spPr>
            <a:ln w="28575" cap="rnd">
              <a:solidFill>
                <a:schemeClr val="accent2"/>
              </a:solidFill>
              <a:round/>
            </a:ln>
            <a:effectLst/>
          </c:spPr>
          <c:marker>
            <c:symbol val="none"/>
          </c:marker>
          <c:cat>
            <c:strRef>
              <c:f>Sheet1!$B$12:$F$12</c:f>
              <c:strCache>
                <c:ptCount val="5"/>
                <c:pt idx="0">
                  <c:v>2014/15</c:v>
                </c:pt>
                <c:pt idx="1">
                  <c:v>2015/16</c:v>
                </c:pt>
                <c:pt idx="2">
                  <c:v>2016/17</c:v>
                </c:pt>
                <c:pt idx="3">
                  <c:v>2017/18</c:v>
                </c:pt>
                <c:pt idx="4">
                  <c:v>2018/19</c:v>
                </c:pt>
              </c:strCache>
            </c:strRef>
          </c:cat>
          <c:val>
            <c:numRef>
              <c:f>Sheet1!$B$14:$F$14</c:f>
              <c:numCache>
                <c:formatCode>General</c:formatCode>
                <c:ptCount val="5"/>
                <c:pt idx="0">
                  <c:v>51</c:v>
                </c:pt>
                <c:pt idx="1">
                  <c:v>51</c:v>
                </c:pt>
                <c:pt idx="2">
                  <c:v>51</c:v>
                </c:pt>
                <c:pt idx="3">
                  <c:v>51</c:v>
                </c:pt>
                <c:pt idx="4">
                  <c:v>51</c:v>
                </c:pt>
              </c:numCache>
            </c:numRef>
          </c:val>
          <c:smooth val="0"/>
          <c:extLst>
            <c:ext xmlns:c16="http://schemas.microsoft.com/office/drawing/2014/chart" uri="{C3380CC4-5D6E-409C-BE32-E72D297353CC}">
              <c16:uniqueId val="{00000001-EC61-4968-8924-48CFE3E2E3CD}"/>
            </c:ext>
          </c:extLst>
        </c:ser>
        <c:dLbls>
          <c:showLegendKey val="0"/>
          <c:showVal val="0"/>
          <c:showCatName val="0"/>
          <c:showSerName val="0"/>
          <c:showPercent val="0"/>
          <c:showBubbleSize val="0"/>
        </c:dLbls>
        <c:marker val="1"/>
        <c:smooth val="0"/>
        <c:axId val="537217688"/>
        <c:axId val="537217360"/>
      </c:lineChart>
      <c:catAx>
        <c:axId val="537217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217360"/>
        <c:crosses val="autoZero"/>
        <c:auto val="1"/>
        <c:lblAlgn val="ctr"/>
        <c:lblOffset val="100"/>
        <c:noMultiLvlLbl val="0"/>
      </c:catAx>
      <c:valAx>
        <c:axId val="537217360"/>
        <c:scaling>
          <c:orientation val="minMax"/>
          <c:max val="8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721768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37B03-C1ED-4CE2-BDF1-4990864A4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1381</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CBM Australia</Company>
  <LinksUpToDate>false</LinksUpToDate>
  <CharactersWithSpaces>9235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Hodson</dc:creator>
  <cp:keywords/>
  <dc:description/>
  <cp:lastModifiedBy>Kerryn Clarke</cp:lastModifiedBy>
  <cp:revision>3</cp:revision>
  <cp:lastPrinted>2020-12-22T04:32:00Z</cp:lastPrinted>
  <dcterms:created xsi:type="dcterms:W3CDTF">2021-05-18T00:49:00Z</dcterms:created>
  <dcterms:modified xsi:type="dcterms:W3CDTF">2021-05-18T01:12:00Z</dcterms:modified>
</cp:coreProperties>
</file>