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F9C2" w14:textId="5AF9F948" w:rsidR="06D305CE" w:rsidRDefault="06D305CE" w:rsidP="06D305CE">
      <w:pPr>
        <w:pStyle w:val="Title"/>
        <w:jc w:val="center"/>
        <w:rPr>
          <w:rFonts w:asciiTheme="minorHAnsi" w:eastAsiaTheme="minorEastAsia" w:hAnsiTheme="minorHAnsi" w:cstheme="minorBidi"/>
          <w:b/>
          <w:bCs/>
          <w:sz w:val="32"/>
          <w:szCs w:val="32"/>
          <w:lang w:val="en-US"/>
        </w:rPr>
      </w:pPr>
      <w:r w:rsidRPr="06D305CE">
        <w:rPr>
          <w:rFonts w:asciiTheme="minorHAnsi" w:eastAsiaTheme="minorEastAsia" w:hAnsiTheme="minorHAnsi" w:cstheme="minorBidi"/>
          <w:b/>
          <w:bCs/>
          <w:sz w:val="32"/>
          <w:szCs w:val="32"/>
          <w:lang w:val="en-US"/>
        </w:rPr>
        <w:t>ADDC Strategic Plan 2023-2026</w:t>
      </w:r>
    </w:p>
    <w:p w14:paraId="3DB2994F" w14:textId="342C7E66" w:rsidR="72B2F2B4" w:rsidRDefault="72B2F2B4" w:rsidP="72B2F2B4">
      <w:pPr>
        <w:spacing w:afterLines="60" w:after="144" w:line="240" w:lineRule="auto"/>
        <w:jc w:val="both"/>
        <w:rPr>
          <w:rFonts w:eastAsiaTheme="minorEastAsia"/>
          <w:b/>
          <w:bCs/>
        </w:rPr>
      </w:pPr>
    </w:p>
    <w:p w14:paraId="55657B53" w14:textId="596F20C8" w:rsidR="0062254B" w:rsidRPr="007B0C54" w:rsidRDefault="06D305CE" w:rsidP="72B2F2B4">
      <w:pPr>
        <w:spacing w:afterLines="60" w:after="144" w:line="240" w:lineRule="auto"/>
        <w:jc w:val="both"/>
        <w:rPr>
          <w:rFonts w:eastAsiaTheme="minorEastAsia"/>
        </w:rPr>
      </w:pPr>
      <w:r w:rsidRPr="06D305CE">
        <w:rPr>
          <w:rFonts w:eastAsiaTheme="minorEastAsia"/>
          <w:b/>
          <w:bCs/>
        </w:rPr>
        <w:t>Purpose:</w:t>
      </w:r>
      <w:r w:rsidRPr="06D305CE">
        <w:rPr>
          <w:rFonts w:eastAsiaTheme="minorEastAsia"/>
          <w:b/>
          <w:bCs/>
          <w:sz w:val="24"/>
          <w:szCs w:val="24"/>
        </w:rPr>
        <w:t xml:space="preserve"> </w:t>
      </w:r>
      <w:r w:rsidRPr="06D305CE">
        <w:rPr>
          <w:rFonts w:eastAsiaTheme="minorEastAsia"/>
        </w:rPr>
        <w:t xml:space="preserve">Australian Disability and Development Consortium (ADDC) is an Australian based, international network focusing attention, </w:t>
      </w:r>
      <w:proofErr w:type="gramStart"/>
      <w:r w:rsidRPr="06D305CE">
        <w:rPr>
          <w:rFonts w:eastAsiaTheme="minorEastAsia"/>
        </w:rPr>
        <w:t>expertise</w:t>
      </w:r>
      <w:proofErr w:type="gramEnd"/>
      <w:r w:rsidRPr="06D305CE">
        <w:rPr>
          <w:rFonts w:eastAsiaTheme="minorEastAsia"/>
        </w:rPr>
        <w:t xml:space="preserve"> and actions on disability in </w:t>
      </w:r>
      <w:r w:rsidR="00717635">
        <w:rPr>
          <w:rFonts w:eastAsiaTheme="minorEastAsia"/>
        </w:rPr>
        <w:t>the majority world</w:t>
      </w:r>
      <w:r w:rsidRPr="06D305CE">
        <w:rPr>
          <w:rFonts w:eastAsiaTheme="minorEastAsia"/>
        </w:rPr>
        <w:t xml:space="preserve">, building on a human rights platform for disability advocacy. </w:t>
      </w:r>
    </w:p>
    <w:p w14:paraId="4E113EE8" w14:textId="0B1222B3" w:rsidR="00B00E21" w:rsidRDefault="5CE1C9DC" w:rsidP="5CE1C9DC">
      <w:pPr>
        <w:spacing w:afterLines="60" w:after="144" w:line="240" w:lineRule="auto"/>
        <w:rPr>
          <w:rFonts w:eastAsiaTheme="minorEastAsia"/>
        </w:rPr>
      </w:pPr>
      <w:r w:rsidRPr="5CE1C9DC">
        <w:rPr>
          <w:rFonts w:eastAsiaTheme="minorEastAsia"/>
          <w:b/>
          <w:bCs/>
        </w:rPr>
        <w:t>Vision:</w:t>
      </w:r>
      <w:r w:rsidRPr="5CE1C9DC">
        <w:rPr>
          <w:rFonts w:eastAsiaTheme="minorEastAsia"/>
        </w:rPr>
        <w:t xml:space="preserve"> The voices and rights of people with disabilities are elevated and reflected in all Australian international development policies and programs.</w:t>
      </w:r>
    </w:p>
    <w:p w14:paraId="73205E71" w14:textId="46914FF1" w:rsidR="00B00E21" w:rsidRPr="00B00E21" w:rsidRDefault="308F5092" w:rsidP="308F5092">
      <w:pPr>
        <w:spacing w:after="0" w:line="240" w:lineRule="auto"/>
        <w:rPr>
          <w:rFonts w:eastAsiaTheme="minorEastAsia"/>
          <w:sz w:val="24"/>
          <w:szCs w:val="24"/>
        </w:rPr>
      </w:pPr>
      <w:r w:rsidRPr="308F5092">
        <w:rPr>
          <w:rFonts w:eastAsiaTheme="minorEastAsia"/>
          <w:b/>
          <w:bCs/>
        </w:rPr>
        <w:t>Mission</w:t>
      </w:r>
      <w:r w:rsidRPr="308F5092">
        <w:rPr>
          <w:rFonts w:eastAsiaTheme="minorEastAsia"/>
        </w:rPr>
        <w:t>: ADDC brings people together to inspire, influence and support all international development actors to embrace and deliver disability inclusive development.</w:t>
      </w:r>
    </w:p>
    <w:p w14:paraId="01BE3D8F" w14:textId="56F26184" w:rsidR="4892E44E" w:rsidRDefault="4892E44E" w:rsidP="4892E44E">
      <w:pPr>
        <w:spacing w:afterLines="60" w:after="144" w:line="240" w:lineRule="auto"/>
        <w:rPr>
          <w:rFonts w:cs="Arial"/>
        </w:rPr>
      </w:pPr>
    </w:p>
    <w:p w14:paraId="5ADE384E" w14:textId="22F4766B" w:rsidR="00D74416" w:rsidRDefault="10AA60B1" w:rsidP="72B2F2B4">
      <w:pPr>
        <w:spacing w:afterLines="60" w:after="144" w:line="240" w:lineRule="auto"/>
        <w:rPr>
          <w:rFonts w:cs="Arial"/>
          <w:b/>
          <w:bCs/>
        </w:rPr>
      </w:pPr>
      <w:r w:rsidRPr="10AA60B1">
        <w:rPr>
          <w:rFonts w:cs="Arial"/>
          <w:b/>
          <w:bCs/>
        </w:rPr>
        <w:t xml:space="preserve">Values:  </w:t>
      </w:r>
    </w:p>
    <w:p w14:paraId="4D9E75D4" w14:textId="1F288607" w:rsidR="00D74416" w:rsidRDefault="6A32F828" w:rsidP="6A32F828">
      <w:pPr>
        <w:pStyle w:val="ListParagraph"/>
        <w:numPr>
          <w:ilvl w:val="0"/>
          <w:numId w:val="9"/>
        </w:numPr>
        <w:spacing w:afterLines="60" w:after="144" w:line="240" w:lineRule="auto"/>
        <w:rPr>
          <w:rFonts w:eastAsiaTheme="minorEastAsia"/>
        </w:rPr>
      </w:pPr>
      <w:r w:rsidRPr="6A32F828">
        <w:rPr>
          <w:rFonts w:cs="Arial"/>
        </w:rPr>
        <w:t xml:space="preserve">Rights - Human rights are based on the idea of a shared humanity and global citizenship. They reinforce human dignity and </w:t>
      </w:r>
      <w:proofErr w:type="gramStart"/>
      <w:r w:rsidRPr="6A32F828">
        <w:rPr>
          <w:rFonts w:cs="Arial"/>
        </w:rPr>
        <w:t>worth, and</w:t>
      </w:r>
      <w:proofErr w:type="gramEnd"/>
      <w:r w:rsidRPr="6A32F828">
        <w:rPr>
          <w:rFonts w:cs="Arial"/>
        </w:rPr>
        <w:t xml:space="preserve"> affirm that all people should be treated according to certain basic standards, be protected from abuse and harm, and show respect for others. ADDC supports the</w:t>
      </w:r>
      <w:r w:rsidRPr="006B189A">
        <w:rPr>
          <w:rFonts w:cs="Arial"/>
          <w:i/>
          <w:iCs/>
        </w:rPr>
        <w:t xml:space="preserve"> Convention on the Rights of Persons with Disabilities</w:t>
      </w:r>
      <w:r w:rsidRPr="6A32F828">
        <w:rPr>
          <w:rFonts w:cs="Arial"/>
        </w:rPr>
        <w:t xml:space="preserve"> (CRPD) and other relevant international and domestic human rights instruments. ADDC adopts right- based approaches to development </w:t>
      </w:r>
      <w:proofErr w:type="gramStart"/>
      <w:r w:rsidRPr="6A32F828">
        <w:rPr>
          <w:rFonts w:cs="Arial"/>
        </w:rPr>
        <w:t>in an effort to</w:t>
      </w:r>
      <w:proofErr w:type="gramEnd"/>
      <w:r w:rsidRPr="6A32F828">
        <w:rPr>
          <w:rFonts w:cs="Arial"/>
        </w:rPr>
        <w:t xml:space="preserve"> achieve a positive transformation of power relations among various development actors.</w:t>
      </w:r>
    </w:p>
    <w:p w14:paraId="485C882D" w14:textId="5A31FB73" w:rsidR="00D74416" w:rsidRDefault="6A32F828" w:rsidP="6A32F828">
      <w:pPr>
        <w:pStyle w:val="ListParagraph"/>
        <w:numPr>
          <w:ilvl w:val="0"/>
          <w:numId w:val="9"/>
        </w:numPr>
        <w:spacing w:afterLines="60" w:after="144" w:line="240" w:lineRule="auto"/>
        <w:rPr>
          <w:rFonts w:eastAsiaTheme="minorEastAsia"/>
        </w:rPr>
      </w:pPr>
      <w:r w:rsidRPr="6A32F828">
        <w:rPr>
          <w:rFonts w:cs="Arial"/>
        </w:rPr>
        <w:t>Participation - ADDC believes that all people should have a say in the matters that affect their lives, including people with disabilities. We are all enriched when everyone</w:t>
      </w:r>
      <w:r w:rsidR="00731027">
        <w:rPr>
          <w:rFonts w:cs="Arial"/>
        </w:rPr>
        <w:t xml:space="preserve"> is included and</w:t>
      </w:r>
      <w:r w:rsidRPr="6A32F828">
        <w:rPr>
          <w:rFonts w:cs="Arial"/>
        </w:rPr>
        <w:t xml:space="preserve"> plays a part in developing and sustaining our communities. Everyone has something unique and valuable to contribute to communities.</w:t>
      </w:r>
    </w:p>
    <w:p w14:paraId="2DC072CB" w14:textId="40DFE0D1" w:rsidR="00D74416" w:rsidRDefault="5293580B" w:rsidP="5293580B">
      <w:pPr>
        <w:pStyle w:val="ListParagraph"/>
        <w:numPr>
          <w:ilvl w:val="0"/>
          <w:numId w:val="9"/>
        </w:numPr>
        <w:spacing w:afterLines="60" w:after="144" w:line="240" w:lineRule="auto"/>
        <w:rPr>
          <w:rFonts w:eastAsiaTheme="minorEastAsia"/>
        </w:rPr>
      </w:pPr>
      <w:r w:rsidRPr="5293580B">
        <w:rPr>
          <w:rFonts w:cs="Arial"/>
        </w:rPr>
        <w:t xml:space="preserve">Accessibility - Accessibility is the practice of making information, activities, and environments appropriate, meaningful, and usable for all people. ADDC promotes equal access to social, </w:t>
      </w:r>
      <w:proofErr w:type="gramStart"/>
      <w:r w:rsidRPr="5293580B">
        <w:rPr>
          <w:rFonts w:cs="Arial"/>
        </w:rPr>
        <w:t>political</w:t>
      </w:r>
      <w:proofErr w:type="gramEnd"/>
      <w:r w:rsidRPr="5293580B">
        <w:rPr>
          <w:rFonts w:cs="Arial"/>
        </w:rPr>
        <w:t xml:space="preserve"> and economic life for all people, regardless of disability.</w:t>
      </w:r>
    </w:p>
    <w:p w14:paraId="514EA0C7" w14:textId="3A5DB201" w:rsidR="00D74416" w:rsidRDefault="5293580B" w:rsidP="5293580B">
      <w:pPr>
        <w:pStyle w:val="ListParagraph"/>
        <w:numPr>
          <w:ilvl w:val="0"/>
          <w:numId w:val="9"/>
        </w:numPr>
        <w:spacing w:afterLines="60" w:after="144" w:line="240" w:lineRule="auto"/>
        <w:rPr>
          <w:rFonts w:eastAsiaTheme="minorEastAsia"/>
        </w:rPr>
      </w:pPr>
      <w:r w:rsidRPr="5293580B">
        <w:rPr>
          <w:rFonts w:cs="Arial"/>
        </w:rPr>
        <w:t xml:space="preserve">Inclusion - Inclusion occurs when a diversity of people – for example of different abilities, ages, cultural backgrounds, genders - feel they belong and are valued and respected, have access to opportunities and resources, and can contribute their perspectives and talents to develop their communities. The act of including everyone moves us beyond access. It is a deeper shift towards welcoming and valuing </w:t>
      </w:r>
      <w:r w:rsidR="007F5A99">
        <w:rPr>
          <w:rFonts w:cs="Arial"/>
        </w:rPr>
        <w:t xml:space="preserve">all </w:t>
      </w:r>
      <w:r w:rsidRPr="5293580B">
        <w:rPr>
          <w:rFonts w:cs="Arial"/>
        </w:rPr>
        <w:t>people exactly as they are.</w:t>
      </w:r>
    </w:p>
    <w:p w14:paraId="39CF999B" w14:textId="289AB7A7" w:rsidR="00991926" w:rsidRPr="007F5A99" w:rsidRDefault="6A32F828" w:rsidP="007F5A99">
      <w:pPr>
        <w:pStyle w:val="ListParagraph"/>
        <w:numPr>
          <w:ilvl w:val="0"/>
          <w:numId w:val="9"/>
        </w:numPr>
        <w:spacing w:afterLines="60" w:after="144" w:line="240" w:lineRule="auto"/>
        <w:rPr>
          <w:rFonts w:eastAsiaTheme="minorEastAsia"/>
          <w:lang w:val="en-US"/>
        </w:rPr>
      </w:pPr>
      <w:r w:rsidRPr="69767247">
        <w:rPr>
          <w:rFonts w:cs="Arial"/>
        </w:rPr>
        <w:t xml:space="preserve">Collaboration - ADDC’s effectiveness is founded on creating and speaking with a collective voice. ADDC recognises that strong, </w:t>
      </w:r>
      <w:proofErr w:type="gramStart"/>
      <w:r w:rsidRPr="69767247">
        <w:rPr>
          <w:rFonts w:cs="Arial"/>
        </w:rPr>
        <w:t>respectful</w:t>
      </w:r>
      <w:proofErr w:type="gramEnd"/>
      <w:r w:rsidRPr="69767247">
        <w:rPr>
          <w:rFonts w:cs="Arial"/>
        </w:rPr>
        <w:t xml:space="preserve"> and mutual relationships with the individuals, organisations, and other stakeholders with whom we work</w:t>
      </w:r>
      <w:r w:rsidR="007F5A99">
        <w:rPr>
          <w:rFonts w:cs="Arial"/>
        </w:rPr>
        <w:t>,</w:t>
      </w:r>
      <w:r w:rsidRPr="69767247">
        <w:rPr>
          <w:rFonts w:cs="Arial"/>
        </w:rPr>
        <w:t xml:space="preserve"> are the foundation of our success</w:t>
      </w:r>
      <w:r w:rsidR="007F5A99">
        <w:rPr>
          <w:rFonts w:cs="Arial"/>
        </w:rPr>
        <w:t>.</w:t>
      </w:r>
    </w:p>
    <w:p w14:paraId="2C7C8DC8" w14:textId="449240E0" w:rsidR="001C5F78" w:rsidRDefault="72B2F2B4" w:rsidP="72B2F2B4">
      <w:pPr>
        <w:tabs>
          <w:tab w:val="left" w:pos="142"/>
          <w:tab w:val="left" w:pos="709"/>
        </w:tabs>
        <w:spacing w:afterLines="60" w:after="144" w:line="276" w:lineRule="auto"/>
        <w:rPr>
          <w:rFonts w:cs="Arial"/>
          <w:b/>
          <w:bCs/>
          <w:lang w:val="en-US"/>
        </w:rPr>
      </w:pPr>
      <w:r w:rsidRPr="72B2F2B4">
        <w:rPr>
          <w:rFonts w:cs="Arial"/>
          <w:b/>
          <w:bCs/>
          <w:lang w:val="en-US"/>
        </w:rPr>
        <w:t>Definitions:</w:t>
      </w:r>
    </w:p>
    <w:p w14:paraId="75B18D31" w14:textId="1F132E48" w:rsidR="001C5F78" w:rsidRPr="007F5A99" w:rsidRDefault="308F5092" w:rsidP="00AF46C2">
      <w:pPr>
        <w:pStyle w:val="ListParagraph"/>
        <w:numPr>
          <w:ilvl w:val="0"/>
          <w:numId w:val="36"/>
        </w:numPr>
        <w:tabs>
          <w:tab w:val="left" w:pos="142"/>
          <w:tab w:val="left" w:pos="709"/>
        </w:tabs>
        <w:spacing w:before="120" w:afterLines="60" w:after="144" w:line="276" w:lineRule="auto"/>
        <w:rPr>
          <w:sz w:val="21"/>
          <w:szCs w:val="21"/>
        </w:rPr>
      </w:pPr>
      <w:r w:rsidRPr="007F5A99">
        <w:rPr>
          <w:rFonts w:cs="Arial"/>
          <w:lang w:val="en-US"/>
        </w:rPr>
        <w:t xml:space="preserve">Development actors: </w:t>
      </w:r>
      <w:r w:rsidR="007F5A99" w:rsidRPr="007F5A99">
        <w:rPr>
          <w:rFonts w:cs="Arial"/>
          <w:lang w:val="en-US"/>
        </w:rPr>
        <w:t>S</w:t>
      </w:r>
      <w:r w:rsidR="007F5A99" w:rsidRPr="007F5A99">
        <w:rPr>
          <w:rFonts w:cs="Arial"/>
          <w:lang w:val="en-US"/>
        </w:rPr>
        <w:t>ervice providers that are undertaking poverty alleviation and the elevation of human rights work in majority world countries</w:t>
      </w:r>
      <w:r w:rsidR="007F5A99" w:rsidRPr="007F5A99">
        <w:rPr>
          <w:rFonts w:cs="Arial"/>
          <w:lang w:val="en-US"/>
        </w:rPr>
        <w:t xml:space="preserve">, including </w:t>
      </w:r>
      <w:r w:rsidR="007F5A99">
        <w:rPr>
          <w:rFonts w:cs="Arial"/>
          <w:lang w:val="en-US"/>
        </w:rPr>
        <w:t>g</w:t>
      </w:r>
      <w:r w:rsidRPr="007F5A99">
        <w:rPr>
          <w:rFonts w:cs="Arial"/>
          <w:lang w:val="en-US"/>
        </w:rPr>
        <w:t>overnment</w:t>
      </w:r>
      <w:r w:rsidR="007F5A99">
        <w:rPr>
          <w:rFonts w:cs="Arial"/>
          <w:lang w:val="en-US"/>
        </w:rPr>
        <w:t>,</w:t>
      </w:r>
      <w:r w:rsidR="007F5A99" w:rsidRPr="007F5A99">
        <w:rPr>
          <w:rFonts w:cs="Arial"/>
          <w:lang w:val="en-US"/>
        </w:rPr>
        <w:t xml:space="preserve"> </w:t>
      </w:r>
      <w:r w:rsidR="007F5A99">
        <w:rPr>
          <w:rFonts w:cs="Arial"/>
          <w:lang w:val="en-US"/>
        </w:rPr>
        <w:t>non</w:t>
      </w:r>
      <w:r w:rsidR="007F5A99" w:rsidRPr="007F5A99">
        <w:rPr>
          <w:rFonts w:cs="Arial"/>
          <w:lang w:val="en-US"/>
        </w:rPr>
        <w:t xml:space="preserve">-profit </w:t>
      </w:r>
      <w:r w:rsidRPr="007F5A99">
        <w:rPr>
          <w:rFonts w:cs="Arial"/>
          <w:lang w:val="en-US"/>
        </w:rPr>
        <w:t>agencies, managing contractors, academic institutions</w:t>
      </w:r>
      <w:r w:rsidR="007F5A99">
        <w:rPr>
          <w:rFonts w:cs="Arial"/>
          <w:lang w:val="en-US"/>
        </w:rPr>
        <w:t xml:space="preserve">, civil society networks, </w:t>
      </w:r>
      <w:proofErr w:type="spellStart"/>
      <w:r w:rsidRPr="007F5A99">
        <w:rPr>
          <w:rFonts w:cs="Arial"/>
          <w:lang w:val="en-US"/>
        </w:rPr>
        <w:t>Organisations</w:t>
      </w:r>
      <w:proofErr w:type="spellEnd"/>
      <w:r w:rsidRPr="007F5A99">
        <w:rPr>
          <w:rFonts w:cs="Arial"/>
          <w:lang w:val="en-US"/>
        </w:rPr>
        <w:t xml:space="preserve"> of People with Disabilities (OPDs) and Australian domestic disability</w:t>
      </w:r>
      <w:r w:rsidR="007F5A99">
        <w:rPr>
          <w:rFonts w:cs="Arial"/>
          <w:lang w:val="en-US"/>
        </w:rPr>
        <w:t xml:space="preserve"> agencies.</w:t>
      </w:r>
    </w:p>
    <w:p w14:paraId="54646E6E" w14:textId="117D0F33" w:rsidR="001C5F78" w:rsidRPr="00717635" w:rsidRDefault="5CE1C9DC" w:rsidP="72B2F2B4">
      <w:pPr>
        <w:pStyle w:val="ListParagraph"/>
        <w:numPr>
          <w:ilvl w:val="0"/>
          <w:numId w:val="36"/>
        </w:numPr>
        <w:tabs>
          <w:tab w:val="left" w:pos="142"/>
          <w:tab w:val="left" w:pos="709"/>
        </w:tabs>
        <w:spacing w:before="120" w:afterLines="60" w:after="144" w:line="276" w:lineRule="auto"/>
        <w:rPr>
          <w:sz w:val="21"/>
          <w:szCs w:val="21"/>
          <w:vertAlign w:val="superscript"/>
        </w:rPr>
      </w:pPr>
      <w:r w:rsidRPr="5CE1C9DC">
        <w:rPr>
          <w:rFonts w:cs="Arial"/>
          <w:lang w:val="en-US"/>
        </w:rPr>
        <w:lastRenderedPageBreak/>
        <w:t xml:space="preserve">Disability inclusive development (DID) </w:t>
      </w:r>
      <w:r w:rsidRPr="5CE1C9DC">
        <w:rPr>
          <w:sz w:val="21"/>
          <w:szCs w:val="21"/>
        </w:rPr>
        <w:t>is ensuring that all phases of the development cycle</w:t>
      </w:r>
      <w:r w:rsidR="007F5A99">
        <w:rPr>
          <w:sz w:val="21"/>
          <w:szCs w:val="21"/>
        </w:rPr>
        <w:t xml:space="preserve"> – from </w:t>
      </w:r>
      <w:r w:rsidRPr="5CE1C9DC">
        <w:rPr>
          <w:sz w:val="21"/>
          <w:szCs w:val="21"/>
        </w:rPr>
        <w:t>design, implementation, monitoring and evaluation</w:t>
      </w:r>
      <w:r w:rsidR="007F5A99">
        <w:rPr>
          <w:sz w:val="21"/>
          <w:szCs w:val="21"/>
        </w:rPr>
        <w:t xml:space="preserve"> -</w:t>
      </w:r>
      <w:r w:rsidRPr="5CE1C9DC">
        <w:rPr>
          <w:sz w:val="21"/>
          <w:szCs w:val="21"/>
        </w:rPr>
        <w:t xml:space="preserve"> include a disability dimension and that people with disabilities are meaningfully and effectively participating in development processes and policies. DID is founded upon the three key principles of participation, </w:t>
      </w:r>
      <w:proofErr w:type="gramStart"/>
      <w:r w:rsidRPr="5CE1C9DC">
        <w:rPr>
          <w:sz w:val="21"/>
          <w:szCs w:val="21"/>
        </w:rPr>
        <w:t>inclusion</w:t>
      </w:r>
      <w:proofErr w:type="gramEnd"/>
      <w:r w:rsidRPr="5CE1C9DC">
        <w:rPr>
          <w:sz w:val="21"/>
          <w:szCs w:val="21"/>
        </w:rPr>
        <w:t xml:space="preserve"> and accessibility. It is based on a twin-track approach that implies both actions to mainstream disability in all programs, and actions specifically targeting people with disabilities to enable them to participate and benefit from programs on an equal basis with others.</w:t>
      </w:r>
    </w:p>
    <w:p w14:paraId="76DA0DE5" w14:textId="648D0603" w:rsidR="00717635" w:rsidRDefault="00717635" w:rsidP="72B2F2B4">
      <w:pPr>
        <w:pStyle w:val="ListParagraph"/>
        <w:numPr>
          <w:ilvl w:val="0"/>
          <w:numId w:val="36"/>
        </w:numPr>
        <w:tabs>
          <w:tab w:val="left" w:pos="142"/>
          <w:tab w:val="left" w:pos="709"/>
        </w:tabs>
        <w:spacing w:before="120" w:afterLines="60" w:after="144" w:line="276" w:lineRule="auto"/>
        <w:rPr>
          <w:rStyle w:val="FootnoteReference"/>
          <w:sz w:val="21"/>
          <w:szCs w:val="21"/>
        </w:rPr>
      </w:pPr>
      <w:r>
        <w:rPr>
          <w:sz w:val="21"/>
          <w:szCs w:val="21"/>
        </w:rPr>
        <w:t xml:space="preserve">Majority world: </w:t>
      </w:r>
      <w:r w:rsidR="004700B5">
        <w:rPr>
          <w:rFonts w:ascii="Calibri" w:eastAsia="Calibri" w:hAnsi="Calibri" w:cs="Calibri"/>
        </w:rPr>
        <w:t>The grouping of</w:t>
      </w:r>
      <w:r w:rsidR="00AC0BAD">
        <w:rPr>
          <w:rFonts w:ascii="Calibri" w:eastAsia="Calibri" w:hAnsi="Calibri" w:cs="Calibri"/>
        </w:rPr>
        <w:t xml:space="preserve"> the countries w</w:t>
      </w:r>
      <w:r w:rsidR="004700B5">
        <w:rPr>
          <w:rFonts w:ascii="Calibri" w:eastAsia="Calibri" w:hAnsi="Calibri" w:cs="Calibri"/>
        </w:rPr>
        <w:t>h</w:t>
      </w:r>
      <w:r w:rsidR="00AC0BAD">
        <w:rPr>
          <w:rFonts w:ascii="Calibri" w:eastAsia="Calibri" w:hAnsi="Calibri" w:cs="Calibri"/>
        </w:rPr>
        <w:t xml:space="preserve">ere </w:t>
      </w:r>
      <w:proofErr w:type="gramStart"/>
      <w:r w:rsidR="00AC0BAD">
        <w:rPr>
          <w:rFonts w:ascii="Calibri" w:eastAsia="Calibri" w:hAnsi="Calibri" w:cs="Calibri"/>
        </w:rPr>
        <w:t>the majority of</w:t>
      </w:r>
      <w:proofErr w:type="gramEnd"/>
      <w:r w:rsidR="00AC0BAD">
        <w:rPr>
          <w:rFonts w:ascii="Calibri" w:eastAsia="Calibri" w:hAnsi="Calibri" w:cs="Calibri"/>
        </w:rPr>
        <w:t xml:space="preserve"> the world’s population live</w:t>
      </w:r>
      <w:r w:rsidR="00094532">
        <w:rPr>
          <w:rFonts w:ascii="Calibri" w:eastAsia="Calibri" w:hAnsi="Calibri" w:cs="Calibri"/>
        </w:rPr>
        <w:t xml:space="preserve">. </w:t>
      </w:r>
      <w:r w:rsidR="007F5A99">
        <w:rPr>
          <w:rFonts w:ascii="Calibri" w:eastAsia="Calibri" w:hAnsi="Calibri" w:cs="Calibri"/>
        </w:rPr>
        <w:t>ADDC</w:t>
      </w:r>
      <w:r w:rsidR="00094532">
        <w:rPr>
          <w:rFonts w:ascii="Calibri" w:eastAsia="Calibri" w:hAnsi="Calibri" w:cs="Calibri"/>
        </w:rPr>
        <w:t xml:space="preserve"> is</w:t>
      </w:r>
      <w:r>
        <w:rPr>
          <w:rFonts w:ascii="Calibri" w:eastAsia="Calibri" w:hAnsi="Calibri" w:cs="Calibri"/>
        </w:rPr>
        <w:t xml:space="preserve"> intentionally using a</w:t>
      </w:r>
      <w:r w:rsidRPr="00032A38">
        <w:rPr>
          <w:rFonts w:ascii="Calibri" w:eastAsia="Calibri" w:hAnsi="Calibri" w:cs="Calibri"/>
        </w:rPr>
        <w:t xml:space="preserve"> more geographically accurate and less pejorative term than ‘developing countries’, the </w:t>
      </w:r>
      <w:r w:rsidRPr="00901206">
        <w:rPr>
          <w:rFonts w:ascii="Calibri" w:eastAsia="Calibri" w:hAnsi="Calibri" w:cs="Calibri"/>
        </w:rPr>
        <w:t>‘global south’ or the ‘third world’</w:t>
      </w:r>
      <w:r w:rsidR="00547858">
        <w:rPr>
          <w:rFonts w:ascii="Calibri" w:eastAsia="Calibri" w:hAnsi="Calibri" w:cs="Calibri"/>
        </w:rPr>
        <w:t>.</w:t>
      </w:r>
      <w:r w:rsidR="00FC78AB">
        <w:rPr>
          <w:rStyle w:val="FootnoteReference"/>
          <w:rFonts w:ascii="Calibri" w:eastAsia="Calibri" w:hAnsi="Calibri" w:cs="Calibri"/>
        </w:rPr>
        <w:footnoteReference w:id="1"/>
      </w:r>
      <w:r w:rsidR="00122F3E">
        <w:rPr>
          <w:rFonts w:ascii="Calibri" w:eastAsia="Calibri" w:hAnsi="Calibri" w:cs="Calibri"/>
        </w:rPr>
        <w:t xml:space="preserve"> </w:t>
      </w:r>
    </w:p>
    <w:p w14:paraId="491AD810" w14:textId="5C20DEAD" w:rsidR="001C5F78" w:rsidRDefault="001C5F78" w:rsidP="72B2F2B4">
      <w:pPr>
        <w:spacing w:afterLines="60" w:after="144" w:line="240" w:lineRule="auto"/>
        <w:rPr>
          <w:rFonts w:cs="Arial"/>
        </w:rPr>
      </w:pPr>
    </w:p>
    <w:p w14:paraId="1C4AAC67" w14:textId="0415936C" w:rsidR="00176384" w:rsidRPr="00997F9B" w:rsidRDefault="06D305CE" w:rsidP="72B2F2B4">
      <w:pPr>
        <w:spacing w:before="120" w:afterLines="60" w:after="144" w:line="240" w:lineRule="auto"/>
        <w:rPr>
          <w:rFonts w:cs="Arial"/>
          <w:b/>
          <w:bCs/>
          <w:lang w:val="en-US"/>
        </w:rPr>
      </w:pPr>
      <w:r w:rsidRPr="06D305CE">
        <w:rPr>
          <w:rFonts w:cs="Arial"/>
          <w:b/>
          <w:bCs/>
        </w:rPr>
        <w:t>Strategic Outcomes:</w:t>
      </w:r>
    </w:p>
    <w:p w14:paraId="39B37397" w14:textId="1B238058" w:rsidR="00176384" w:rsidRPr="00997F9B" w:rsidRDefault="72B2F2B4" w:rsidP="72B2F2B4">
      <w:pPr>
        <w:numPr>
          <w:ilvl w:val="0"/>
          <w:numId w:val="27"/>
        </w:numPr>
        <w:spacing w:before="120" w:after="0" w:line="276" w:lineRule="auto"/>
        <w:rPr>
          <w:rFonts w:cs="Arial"/>
          <w:lang w:val="en-US"/>
        </w:rPr>
      </w:pPr>
      <w:r w:rsidRPr="72B2F2B4">
        <w:rPr>
          <w:rFonts w:cs="Arial"/>
          <w:u w:val="single"/>
          <w:lang w:val="en-US"/>
        </w:rPr>
        <w:t>Knowledge &amp; Skill</w:t>
      </w:r>
      <w:r>
        <w:t xml:space="preserve"> - Australian development actors have greater technical knowledge and skills in disability inclusive development </w:t>
      </w:r>
    </w:p>
    <w:p w14:paraId="2987883C" w14:textId="0A7E3263" w:rsidR="00176384" w:rsidRPr="00997F9B" w:rsidRDefault="37C1D865" w:rsidP="72B2F2B4">
      <w:pPr>
        <w:pStyle w:val="ListParagraph"/>
        <w:numPr>
          <w:ilvl w:val="0"/>
          <w:numId w:val="27"/>
        </w:numPr>
        <w:spacing w:before="120" w:after="0" w:line="276" w:lineRule="auto"/>
        <w:ind w:left="714" w:hanging="357"/>
        <w:contextualSpacing w:val="0"/>
        <w:rPr>
          <w:lang w:val="en-US"/>
        </w:rPr>
      </w:pPr>
      <w:r w:rsidRPr="37C1D865">
        <w:rPr>
          <w:rFonts w:cs="Arial"/>
          <w:u w:val="single"/>
          <w:lang w:val="en-US"/>
        </w:rPr>
        <w:t>Policy &amp; Practice</w:t>
      </w:r>
      <w:r>
        <w:t xml:space="preserve"> - Disability inclusion is embedded in the commitments and work of Australian development actors</w:t>
      </w:r>
    </w:p>
    <w:p w14:paraId="66B470E4" w14:textId="0A252857" w:rsidR="00176384" w:rsidRPr="00997F9B" w:rsidRDefault="009C555A" w:rsidP="72B2F2B4">
      <w:pPr>
        <w:pStyle w:val="ListParagraph"/>
        <w:numPr>
          <w:ilvl w:val="0"/>
          <w:numId w:val="27"/>
        </w:numPr>
        <w:spacing w:before="120" w:after="0" w:line="276" w:lineRule="auto"/>
        <w:ind w:left="714" w:hanging="357"/>
        <w:contextualSpacing w:val="0"/>
        <w:rPr>
          <w:rFonts w:cs="Arial"/>
          <w:lang w:val="en-US"/>
        </w:rPr>
      </w:pPr>
      <w:r>
        <w:rPr>
          <w:rFonts w:cs="Arial"/>
          <w:u w:val="single"/>
          <w:lang w:val="en-US"/>
        </w:rPr>
        <w:t xml:space="preserve">Partnerships &amp; </w:t>
      </w:r>
      <w:r w:rsidR="72B2F2B4" w:rsidRPr="72B2F2B4">
        <w:rPr>
          <w:rFonts w:cs="Arial"/>
          <w:u w:val="single"/>
          <w:lang w:val="en-US"/>
        </w:rPr>
        <w:t>Accountability</w:t>
      </w:r>
      <w:r w:rsidR="72B2F2B4">
        <w:t xml:space="preserve"> - Australian development actors have increased partnership with people with disabilities and accountability for disability inclusive development</w:t>
      </w:r>
    </w:p>
    <w:p w14:paraId="02967C1A" w14:textId="4953AFF5" w:rsidR="00176384" w:rsidRPr="00997F9B" w:rsidRDefault="00A84792" w:rsidP="72B2F2B4">
      <w:pPr>
        <w:pStyle w:val="ListParagraph"/>
        <w:numPr>
          <w:ilvl w:val="0"/>
          <w:numId w:val="27"/>
        </w:numPr>
        <w:spacing w:before="120" w:after="0" w:line="276" w:lineRule="auto"/>
        <w:ind w:left="714" w:hanging="357"/>
        <w:contextualSpacing w:val="0"/>
        <w:rPr>
          <w:rFonts w:cs="Arial"/>
          <w:lang w:val="en-US"/>
        </w:rPr>
      </w:pPr>
      <w:r w:rsidRPr="00A84792">
        <w:rPr>
          <w:u w:val="single"/>
        </w:rPr>
        <w:t>Collective voice</w:t>
      </w:r>
      <w:r w:rsidR="005916AD">
        <w:rPr>
          <w:rStyle w:val="FootnoteReference"/>
          <w:u w:val="single"/>
        </w:rPr>
        <w:footnoteReference w:id="2"/>
      </w:r>
      <w:r>
        <w:t xml:space="preserve"> - </w:t>
      </w:r>
      <w:r w:rsidR="72B2F2B4">
        <w:t>ADDC is a strong and influential collective voice</w:t>
      </w:r>
    </w:p>
    <w:p w14:paraId="6A3062E0" w14:textId="63845A66" w:rsidR="00A84A0D" w:rsidRPr="00F043D5" w:rsidRDefault="00A84A0D" w:rsidP="00F043D5">
      <w:pPr>
        <w:tabs>
          <w:tab w:val="left" w:pos="142"/>
          <w:tab w:val="left" w:pos="709"/>
        </w:tabs>
        <w:spacing w:before="120" w:after="0" w:line="276" w:lineRule="auto"/>
        <w:rPr>
          <w:rFonts w:ascii="Verdana" w:hAnsi="Verdana" w:cs="Helvetica"/>
          <w:color w:val="333333"/>
          <w:sz w:val="18"/>
          <w:szCs w:val="18"/>
          <w:lang w:val="en"/>
        </w:rPr>
      </w:pPr>
    </w:p>
    <w:tbl>
      <w:tblPr>
        <w:tblStyle w:val="TableGrid"/>
        <w:tblW w:w="0" w:type="auto"/>
        <w:tblLayout w:type="fixed"/>
        <w:tblLook w:val="06A0" w:firstRow="1" w:lastRow="0" w:firstColumn="1" w:lastColumn="0" w:noHBand="1" w:noVBand="1"/>
      </w:tblPr>
      <w:tblGrid>
        <w:gridCol w:w="4095"/>
        <w:gridCol w:w="9855"/>
      </w:tblGrid>
      <w:tr w:rsidR="06D305CE" w14:paraId="1A3417D1" w14:textId="77777777" w:rsidTr="308F5092">
        <w:tc>
          <w:tcPr>
            <w:tcW w:w="4095" w:type="dxa"/>
          </w:tcPr>
          <w:p w14:paraId="6058AD89" w14:textId="29862268" w:rsidR="06D305CE" w:rsidRDefault="06D305CE" w:rsidP="06D305CE">
            <w:pPr>
              <w:pStyle w:val="ListParagraph"/>
              <w:rPr>
                <w:rFonts w:ascii="Verdana" w:hAnsi="Verdana" w:cs="Helvetica"/>
                <w:color w:val="333333"/>
                <w:sz w:val="18"/>
                <w:szCs w:val="18"/>
                <w:lang w:val="en"/>
              </w:rPr>
            </w:pPr>
            <w:r w:rsidRPr="06D305CE">
              <w:rPr>
                <w:rFonts w:ascii="Verdana" w:hAnsi="Verdana" w:cs="Helvetica"/>
                <w:color w:val="333333"/>
                <w:sz w:val="18"/>
                <w:szCs w:val="18"/>
                <w:lang w:val="en"/>
              </w:rPr>
              <w:t xml:space="preserve">Outcome </w:t>
            </w:r>
          </w:p>
        </w:tc>
        <w:tc>
          <w:tcPr>
            <w:tcW w:w="9855" w:type="dxa"/>
          </w:tcPr>
          <w:p w14:paraId="58E81A5D" w14:textId="7B79275C" w:rsidR="06D305CE" w:rsidRDefault="06D305CE" w:rsidP="06D305CE">
            <w:pPr>
              <w:pStyle w:val="ListParagraph"/>
              <w:rPr>
                <w:rFonts w:ascii="Verdana" w:hAnsi="Verdana" w:cs="Helvetica"/>
                <w:color w:val="333333"/>
                <w:sz w:val="18"/>
                <w:szCs w:val="18"/>
                <w:lang w:val="en"/>
              </w:rPr>
            </w:pPr>
            <w:r w:rsidRPr="06D305CE">
              <w:rPr>
                <w:rFonts w:ascii="Verdana" w:hAnsi="Verdana" w:cs="Helvetica"/>
                <w:color w:val="333333"/>
                <w:sz w:val="18"/>
                <w:szCs w:val="18"/>
                <w:lang w:val="en"/>
              </w:rPr>
              <w:t>Objectives</w:t>
            </w:r>
          </w:p>
        </w:tc>
      </w:tr>
      <w:tr w:rsidR="06D305CE" w14:paraId="3A0273B7" w14:textId="77777777" w:rsidTr="308F5092">
        <w:tc>
          <w:tcPr>
            <w:tcW w:w="4095" w:type="dxa"/>
          </w:tcPr>
          <w:p w14:paraId="715A9CA9" w14:textId="602A4EE5" w:rsidR="06D305CE" w:rsidRDefault="5CE1C9DC" w:rsidP="06D305CE">
            <w:pPr>
              <w:pStyle w:val="ListParagraph"/>
              <w:numPr>
                <w:ilvl w:val="0"/>
                <w:numId w:val="8"/>
              </w:numPr>
              <w:rPr>
                <w:rFonts w:eastAsiaTheme="minorEastAsia"/>
                <w:color w:val="333333"/>
                <w:lang w:val="en-US"/>
              </w:rPr>
            </w:pPr>
            <w:r w:rsidRPr="5CE1C9DC">
              <w:rPr>
                <w:rFonts w:cs="Arial"/>
                <w:u w:val="single"/>
                <w:lang w:val="en-US"/>
              </w:rPr>
              <w:t>Knowledge &amp; Skill</w:t>
            </w:r>
            <w:r>
              <w:t xml:space="preserve"> - Australian development actors have greater technical knowledge and skills in disability inclusive development</w:t>
            </w:r>
            <w:r w:rsidR="007F5A99">
              <w:t>.</w:t>
            </w:r>
          </w:p>
          <w:p w14:paraId="3F10497A" w14:textId="32F9A2E2" w:rsidR="06D305CE" w:rsidRDefault="06D305CE" w:rsidP="06D305CE"/>
          <w:p w14:paraId="123A8B19" w14:textId="22D32666" w:rsidR="06D305CE" w:rsidRDefault="06D305CE" w:rsidP="06D305CE">
            <w:pPr>
              <w:rPr>
                <w:rFonts w:ascii="Verdana" w:hAnsi="Verdana" w:cs="Helvetica"/>
                <w:color w:val="333333"/>
                <w:sz w:val="18"/>
                <w:szCs w:val="18"/>
                <w:lang w:val="en"/>
              </w:rPr>
            </w:pPr>
          </w:p>
        </w:tc>
        <w:tc>
          <w:tcPr>
            <w:tcW w:w="9855" w:type="dxa"/>
          </w:tcPr>
          <w:p w14:paraId="3C732DC4" w14:textId="5E229BE4" w:rsidR="06D305CE" w:rsidRDefault="06D305CE" w:rsidP="06D305CE">
            <w:pPr>
              <w:pStyle w:val="ListParagraph"/>
              <w:numPr>
                <w:ilvl w:val="1"/>
                <w:numId w:val="4"/>
              </w:numPr>
              <w:rPr>
                <w:rFonts w:eastAsiaTheme="minorEastAsia"/>
                <w:lang w:val="en"/>
              </w:rPr>
            </w:pPr>
            <w:r w:rsidRPr="06D305CE">
              <w:rPr>
                <w:rFonts w:ascii="Calibri" w:eastAsia="Calibri" w:hAnsi="Calibri" w:cs="Calibri"/>
                <w:lang w:val="en"/>
              </w:rPr>
              <w:t>Australian development actors practicing or wanting to practice DID have access to high quality resources and networking opportunities on technical aspects of DID.</w:t>
            </w:r>
          </w:p>
          <w:p w14:paraId="5498E63D" w14:textId="693F5C85" w:rsidR="06D305CE" w:rsidRDefault="06D305CE" w:rsidP="06D305CE">
            <w:pPr>
              <w:pStyle w:val="ListParagraph"/>
              <w:numPr>
                <w:ilvl w:val="1"/>
                <w:numId w:val="4"/>
              </w:numPr>
              <w:rPr>
                <w:rFonts w:eastAsiaTheme="minorEastAsia"/>
                <w:lang w:val="en"/>
              </w:rPr>
            </w:pPr>
            <w:r w:rsidRPr="06D305CE">
              <w:rPr>
                <w:rFonts w:ascii="Calibri" w:eastAsia="Calibri" w:hAnsi="Calibri" w:cs="Calibri"/>
                <w:lang w:val="en"/>
              </w:rPr>
              <w:t xml:space="preserve">Practitioners are more aware of and feel supported to implement basics of disability inclusion in ID work. </w:t>
            </w:r>
          </w:p>
        </w:tc>
      </w:tr>
      <w:tr w:rsidR="06D305CE" w14:paraId="18547F71" w14:textId="77777777" w:rsidTr="308F5092">
        <w:tc>
          <w:tcPr>
            <w:tcW w:w="4095" w:type="dxa"/>
          </w:tcPr>
          <w:p w14:paraId="567A919B" w14:textId="52219A81" w:rsidR="06D305CE" w:rsidRDefault="5CE1C9DC" w:rsidP="5CE1C9DC">
            <w:pPr>
              <w:pStyle w:val="ListParagraph"/>
              <w:numPr>
                <w:ilvl w:val="0"/>
                <w:numId w:val="8"/>
              </w:numPr>
              <w:spacing w:before="120" w:line="276" w:lineRule="auto"/>
              <w:rPr>
                <w:rFonts w:eastAsiaTheme="minorEastAsia"/>
                <w:lang w:val="en-US"/>
              </w:rPr>
            </w:pPr>
            <w:r w:rsidRPr="5CE1C9DC">
              <w:rPr>
                <w:rFonts w:cs="Arial"/>
                <w:u w:val="single"/>
                <w:lang w:val="en-US"/>
              </w:rPr>
              <w:t>Policy &amp; Practice</w:t>
            </w:r>
            <w:r>
              <w:t xml:space="preserve"> - Disability inclusion is embedded in the commitments and work of Australian development actors</w:t>
            </w:r>
            <w:r w:rsidR="007F5A99">
              <w:t>.</w:t>
            </w:r>
          </w:p>
          <w:p w14:paraId="5BF2B63A" w14:textId="21698326" w:rsidR="06D305CE" w:rsidRDefault="06D305CE" w:rsidP="06D305CE">
            <w:pPr>
              <w:pStyle w:val="ListParagraph"/>
              <w:rPr>
                <w:rFonts w:ascii="Verdana" w:hAnsi="Verdana" w:cs="Helvetica"/>
                <w:color w:val="333333"/>
                <w:sz w:val="18"/>
                <w:szCs w:val="18"/>
                <w:lang w:val="en"/>
              </w:rPr>
            </w:pPr>
          </w:p>
        </w:tc>
        <w:tc>
          <w:tcPr>
            <w:tcW w:w="9855" w:type="dxa"/>
          </w:tcPr>
          <w:p w14:paraId="7F2F5750" w14:textId="2B1BAF8C" w:rsidR="06D305CE" w:rsidRDefault="06D305CE" w:rsidP="06D305CE">
            <w:pPr>
              <w:pStyle w:val="ListParagraph"/>
              <w:numPr>
                <w:ilvl w:val="1"/>
                <w:numId w:val="3"/>
              </w:numPr>
              <w:rPr>
                <w:rFonts w:eastAsiaTheme="minorEastAsia"/>
                <w:color w:val="333333"/>
                <w:lang w:val="en"/>
              </w:rPr>
            </w:pPr>
            <w:r w:rsidRPr="06D305CE">
              <w:rPr>
                <w:rFonts w:ascii="Calibri" w:eastAsia="Calibri" w:hAnsi="Calibri" w:cs="Calibri"/>
                <w:lang w:val="en"/>
              </w:rPr>
              <w:lastRenderedPageBreak/>
              <w:t>Through lobbying and meaningful, constructive relationships, D</w:t>
            </w:r>
            <w:r w:rsidR="007F5A99">
              <w:rPr>
                <w:rFonts w:ascii="Calibri" w:eastAsia="Calibri" w:hAnsi="Calibri" w:cs="Calibri"/>
                <w:lang w:val="en"/>
              </w:rPr>
              <w:t xml:space="preserve">epartment of Foreign </w:t>
            </w:r>
            <w:r w:rsidR="007F5A99" w:rsidRPr="06D305CE">
              <w:rPr>
                <w:rFonts w:ascii="Calibri" w:eastAsia="Calibri" w:hAnsi="Calibri" w:cs="Calibri"/>
                <w:lang w:val="en"/>
              </w:rPr>
              <w:t>A</w:t>
            </w:r>
            <w:r w:rsidR="007F5A99">
              <w:rPr>
                <w:rFonts w:ascii="Calibri" w:eastAsia="Calibri" w:hAnsi="Calibri" w:cs="Calibri"/>
                <w:lang w:val="en"/>
              </w:rPr>
              <w:t xml:space="preserve">ffairs and </w:t>
            </w:r>
            <w:r w:rsidRPr="06D305CE">
              <w:rPr>
                <w:rFonts w:ascii="Calibri" w:eastAsia="Calibri" w:hAnsi="Calibri" w:cs="Calibri"/>
                <w:lang w:val="en"/>
              </w:rPr>
              <w:t>T</w:t>
            </w:r>
            <w:r w:rsidR="007F5A99">
              <w:rPr>
                <w:rFonts w:ascii="Calibri" w:eastAsia="Calibri" w:hAnsi="Calibri" w:cs="Calibri"/>
                <w:lang w:val="en"/>
              </w:rPr>
              <w:t>rade (DFAT)</w:t>
            </w:r>
            <w:r w:rsidRPr="06D305CE">
              <w:rPr>
                <w:rFonts w:ascii="Calibri" w:eastAsia="Calibri" w:hAnsi="Calibri" w:cs="Calibri"/>
                <w:lang w:val="en"/>
              </w:rPr>
              <w:t xml:space="preserve"> and political leaders are encouraged and supported to increase commitment to DID.  </w:t>
            </w:r>
          </w:p>
          <w:p w14:paraId="7BC78349" w14:textId="17028CE5" w:rsidR="06D305CE" w:rsidRDefault="06D305CE" w:rsidP="06D305CE">
            <w:pPr>
              <w:pStyle w:val="ListParagraph"/>
              <w:numPr>
                <w:ilvl w:val="1"/>
                <w:numId w:val="3"/>
              </w:numPr>
              <w:rPr>
                <w:color w:val="333333"/>
                <w:sz w:val="18"/>
                <w:szCs w:val="18"/>
                <w:lang w:val="en"/>
              </w:rPr>
            </w:pPr>
            <w:r w:rsidRPr="06D305CE">
              <w:rPr>
                <w:rFonts w:ascii="Calibri" w:eastAsia="Calibri" w:hAnsi="Calibri" w:cs="Calibri"/>
                <w:lang w:val="en"/>
              </w:rPr>
              <w:t>Through ADDC’s submissions and briefings, DFAT and the Minister and other high-level policy makers are made aware of priority technical aspects of DID.</w:t>
            </w:r>
          </w:p>
          <w:p w14:paraId="4D770C84" w14:textId="2AEAD797" w:rsidR="06D305CE" w:rsidRPr="007F5A99" w:rsidRDefault="06D305CE" w:rsidP="007F5A99">
            <w:pPr>
              <w:rPr>
                <w:color w:val="333333"/>
                <w:sz w:val="18"/>
                <w:szCs w:val="18"/>
                <w:lang w:val="en"/>
              </w:rPr>
            </w:pPr>
          </w:p>
        </w:tc>
      </w:tr>
      <w:tr w:rsidR="06D305CE" w14:paraId="6A397B91" w14:textId="77777777" w:rsidTr="308F5092">
        <w:tc>
          <w:tcPr>
            <w:tcW w:w="4095" w:type="dxa"/>
          </w:tcPr>
          <w:p w14:paraId="66F00B3F" w14:textId="6E31359B" w:rsidR="06D305CE" w:rsidRDefault="009C555A" w:rsidP="06D305CE">
            <w:pPr>
              <w:pStyle w:val="ListParagraph"/>
              <w:numPr>
                <w:ilvl w:val="0"/>
                <w:numId w:val="8"/>
              </w:numPr>
              <w:spacing w:before="120" w:line="276" w:lineRule="auto"/>
              <w:rPr>
                <w:rFonts w:eastAsiaTheme="minorEastAsia"/>
                <w:lang w:val="en-US"/>
              </w:rPr>
            </w:pPr>
            <w:r>
              <w:rPr>
                <w:rFonts w:cs="Arial"/>
                <w:u w:val="single"/>
                <w:lang w:val="en-US"/>
              </w:rPr>
              <w:lastRenderedPageBreak/>
              <w:t xml:space="preserve">Partnerships &amp; </w:t>
            </w:r>
            <w:r w:rsidR="5CE1C9DC" w:rsidRPr="5CE1C9DC">
              <w:rPr>
                <w:rFonts w:cs="Arial"/>
                <w:u w:val="single"/>
                <w:lang w:val="en-US"/>
              </w:rPr>
              <w:t>Accountability</w:t>
            </w:r>
            <w:r w:rsidR="5CE1C9DC">
              <w:t xml:space="preserve"> - Australian development actors have increased partnership with people with disabilities and accountability for disability inclusive development</w:t>
            </w:r>
            <w:r w:rsidR="007F5A99">
              <w:t>.</w:t>
            </w:r>
          </w:p>
          <w:p w14:paraId="770D48C3" w14:textId="5054A34B" w:rsidR="06D305CE" w:rsidRDefault="06D305CE" w:rsidP="06D305CE">
            <w:pPr>
              <w:pStyle w:val="ListParagraph"/>
              <w:rPr>
                <w:rFonts w:ascii="Verdana" w:hAnsi="Verdana" w:cs="Helvetica"/>
                <w:color w:val="333333"/>
                <w:sz w:val="18"/>
                <w:szCs w:val="18"/>
                <w:lang w:val="en"/>
              </w:rPr>
            </w:pPr>
          </w:p>
        </w:tc>
        <w:tc>
          <w:tcPr>
            <w:tcW w:w="9855" w:type="dxa"/>
          </w:tcPr>
          <w:p w14:paraId="7627B634" w14:textId="29D5AA5C" w:rsidR="06D305CE" w:rsidRDefault="06D305CE" w:rsidP="06D305CE">
            <w:pPr>
              <w:pStyle w:val="ListParagraph"/>
              <w:numPr>
                <w:ilvl w:val="1"/>
                <w:numId w:val="2"/>
              </w:numPr>
              <w:rPr>
                <w:rFonts w:eastAsiaTheme="minorEastAsia"/>
                <w:color w:val="333333"/>
                <w:sz w:val="18"/>
                <w:szCs w:val="18"/>
                <w:lang w:val="en"/>
              </w:rPr>
            </w:pPr>
            <w:r w:rsidRPr="06D305CE">
              <w:rPr>
                <w:rFonts w:ascii="Calibri" w:eastAsia="Calibri" w:hAnsi="Calibri" w:cs="Calibri"/>
                <w:lang w:val="en"/>
              </w:rPr>
              <w:t>‘Demystifying disability’</w:t>
            </w:r>
            <w:r w:rsidR="007F5A99">
              <w:rPr>
                <w:rFonts w:ascii="Calibri" w:eastAsia="Calibri" w:hAnsi="Calibri" w:cs="Calibri"/>
                <w:lang w:val="en"/>
              </w:rPr>
              <w:t>:</w:t>
            </w:r>
            <w:r w:rsidRPr="06D305CE">
              <w:rPr>
                <w:rFonts w:ascii="Calibri" w:eastAsia="Calibri" w:hAnsi="Calibri" w:cs="Calibri"/>
                <w:lang w:val="en"/>
              </w:rPr>
              <w:t xml:space="preserve"> practitioners have more opportunity to engage with people with disabilities </w:t>
            </w:r>
          </w:p>
          <w:p w14:paraId="39E5BC80" w14:textId="74400C7C" w:rsidR="06D305CE" w:rsidRDefault="06D305CE" w:rsidP="06D305CE">
            <w:pPr>
              <w:pStyle w:val="ListParagraph"/>
              <w:numPr>
                <w:ilvl w:val="1"/>
                <w:numId w:val="2"/>
              </w:numPr>
              <w:rPr>
                <w:rFonts w:eastAsiaTheme="minorEastAsia"/>
                <w:b/>
                <w:bCs/>
                <w:color w:val="333333"/>
                <w:lang w:val="en"/>
              </w:rPr>
            </w:pPr>
            <w:r w:rsidRPr="06D305CE">
              <w:rPr>
                <w:rFonts w:ascii="Calibri" w:eastAsia="Calibri" w:hAnsi="Calibri" w:cs="Calibri"/>
                <w:lang w:val="en"/>
              </w:rPr>
              <w:t>DFAT</w:t>
            </w:r>
            <w:r w:rsidR="007F5A99">
              <w:rPr>
                <w:rFonts w:ascii="Calibri" w:eastAsia="Calibri" w:hAnsi="Calibri" w:cs="Calibri"/>
                <w:lang w:val="en"/>
              </w:rPr>
              <w:t>,</w:t>
            </w:r>
            <w:r w:rsidRPr="06D305CE">
              <w:rPr>
                <w:rFonts w:ascii="Calibri" w:eastAsia="Calibri" w:hAnsi="Calibri" w:cs="Calibri"/>
                <w:lang w:val="en"/>
              </w:rPr>
              <w:t xml:space="preserve"> and any other relevant donors from time to time</w:t>
            </w:r>
            <w:r w:rsidR="007F5A99">
              <w:rPr>
                <w:rFonts w:ascii="Calibri" w:eastAsia="Calibri" w:hAnsi="Calibri" w:cs="Calibri"/>
                <w:lang w:val="en"/>
              </w:rPr>
              <w:t>,</w:t>
            </w:r>
            <w:r w:rsidRPr="06D305CE">
              <w:rPr>
                <w:rFonts w:ascii="Calibri" w:eastAsia="Calibri" w:hAnsi="Calibri" w:cs="Calibri"/>
                <w:lang w:val="en"/>
              </w:rPr>
              <w:t xml:space="preserve"> are regularly informed about needs and priorities to advance inclusion of people with disabilities in their funded work.</w:t>
            </w:r>
          </w:p>
          <w:p w14:paraId="7BC1EB83" w14:textId="479D5BF5" w:rsidR="06D305CE" w:rsidRDefault="06D305CE" w:rsidP="06D305CE">
            <w:pPr>
              <w:pStyle w:val="ListParagraph"/>
              <w:numPr>
                <w:ilvl w:val="1"/>
                <w:numId w:val="2"/>
              </w:numPr>
              <w:rPr>
                <w:rFonts w:eastAsiaTheme="minorEastAsia"/>
                <w:b/>
                <w:bCs/>
                <w:color w:val="333333"/>
                <w:lang w:val="en"/>
              </w:rPr>
            </w:pPr>
            <w:r w:rsidRPr="06D305CE">
              <w:rPr>
                <w:rFonts w:ascii="Calibri" w:eastAsia="Calibri" w:hAnsi="Calibri" w:cs="Calibri"/>
                <w:lang w:val="en"/>
              </w:rPr>
              <w:t xml:space="preserve">ADDC’s collective voice is informed by the voice of people with disability and their representative </w:t>
            </w:r>
            <w:proofErr w:type="spellStart"/>
            <w:r w:rsidRPr="06D305CE">
              <w:rPr>
                <w:rFonts w:ascii="Calibri" w:eastAsia="Calibri" w:hAnsi="Calibri" w:cs="Calibri"/>
                <w:lang w:val="en"/>
              </w:rPr>
              <w:t>organisations</w:t>
            </w:r>
            <w:proofErr w:type="spellEnd"/>
            <w:r w:rsidRPr="06D305CE">
              <w:rPr>
                <w:rFonts w:ascii="Calibri" w:eastAsia="Calibri" w:hAnsi="Calibri" w:cs="Calibri"/>
                <w:lang w:val="en"/>
              </w:rPr>
              <w:t xml:space="preserve"> particularly from the region. </w:t>
            </w:r>
          </w:p>
        </w:tc>
      </w:tr>
      <w:tr w:rsidR="06D305CE" w14:paraId="10288CC5" w14:textId="77777777" w:rsidTr="308F5092">
        <w:tc>
          <w:tcPr>
            <w:tcW w:w="4095" w:type="dxa"/>
          </w:tcPr>
          <w:p w14:paraId="5ADB0E01" w14:textId="389585C6" w:rsidR="5CE1C9DC" w:rsidRDefault="308F5092" w:rsidP="308F5092">
            <w:pPr>
              <w:pStyle w:val="ListParagraph"/>
              <w:numPr>
                <w:ilvl w:val="0"/>
                <w:numId w:val="8"/>
              </w:numPr>
              <w:spacing w:before="120" w:line="276" w:lineRule="auto"/>
              <w:rPr>
                <w:rFonts w:eastAsiaTheme="minorEastAsia"/>
                <w:lang w:val="en-US"/>
              </w:rPr>
            </w:pPr>
            <w:r w:rsidRPr="000D67E7">
              <w:rPr>
                <w:u w:val="single"/>
              </w:rPr>
              <w:t>Collective Voice</w:t>
            </w:r>
            <w:r>
              <w:t xml:space="preserve"> - ADDC is a strong and influential collective voice</w:t>
            </w:r>
            <w:r w:rsidR="007F5A99">
              <w:t>.</w:t>
            </w:r>
          </w:p>
          <w:p w14:paraId="5449FDB1" w14:textId="7E2E428D" w:rsidR="06D305CE" w:rsidRDefault="06D305CE" w:rsidP="06D305CE">
            <w:pPr>
              <w:pStyle w:val="ListParagraph"/>
              <w:rPr>
                <w:rFonts w:ascii="Verdana" w:hAnsi="Verdana" w:cs="Helvetica"/>
                <w:color w:val="333333"/>
                <w:sz w:val="18"/>
                <w:szCs w:val="18"/>
                <w:lang w:val="en"/>
              </w:rPr>
            </w:pPr>
          </w:p>
        </w:tc>
        <w:tc>
          <w:tcPr>
            <w:tcW w:w="9855" w:type="dxa"/>
          </w:tcPr>
          <w:p w14:paraId="088A0EB6" w14:textId="4CEB1926" w:rsidR="06D305CE" w:rsidRDefault="06D305CE" w:rsidP="06D305CE">
            <w:pPr>
              <w:pStyle w:val="ListParagraph"/>
              <w:numPr>
                <w:ilvl w:val="1"/>
                <w:numId w:val="5"/>
              </w:numPr>
              <w:rPr>
                <w:rFonts w:eastAsiaTheme="minorEastAsia"/>
                <w:color w:val="333333"/>
                <w:lang w:val="en"/>
              </w:rPr>
            </w:pPr>
            <w:r w:rsidRPr="06D305CE">
              <w:rPr>
                <w:rFonts w:ascii="Calibri" w:eastAsia="Calibri" w:hAnsi="Calibri" w:cs="Calibri"/>
                <w:lang w:val="en"/>
              </w:rPr>
              <w:t>ADDC is recognised as the prominent voice on DID issues.</w:t>
            </w:r>
          </w:p>
          <w:p w14:paraId="691F9E93" w14:textId="2E0A9CE2" w:rsidR="06D305CE" w:rsidRDefault="06D305CE" w:rsidP="06D305CE">
            <w:pPr>
              <w:pStyle w:val="ListParagraph"/>
              <w:numPr>
                <w:ilvl w:val="1"/>
                <w:numId w:val="5"/>
              </w:numPr>
              <w:rPr>
                <w:rFonts w:eastAsiaTheme="minorEastAsia"/>
                <w:color w:val="333333"/>
                <w:lang w:val="en"/>
              </w:rPr>
            </w:pPr>
            <w:r w:rsidRPr="06D305CE">
              <w:rPr>
                <w:rFonts w:ascii="Calibri" w:eastAsia="Calibri" w:hAnsi="Calibri" w:cs="Calibri"/>
                <w:lang w:val="en"/>
              </w:rPr>
              <w:t xml:space="preserve">Risks are addressed to strengthen viability. </w:t>
            </w:r>
          </w:p>
          <w:p w14:paraId="23EECAFC" w14:textId="0C771709" w:rsidR="06D305CE" w:rsidRDefault="06D305CE" w:rsidP="06D305CE">
            <w:pPr>
              <w:pStyle w:val="ListParagraph"/>
              <w:numPr>
                <w:ilvl w:val="1"/>
                <w:numId w:val="5"/>
              </w:numPr>
              <w:rPr>
                <w:rFonts w:eastAsiaTheme="minorEastAsia"/>
                <w:color w:val="333333"/>
                <w:lang w:val="en"/>
              </w:rPr>
            </w:pPr>
            <w:r w:rsidRPr="06D305CE">
              <w:rPr>
                <w:rFonts w:ascii="Calibri" w:eastAsia="Calibri" w:hAnsi="Calibri" w:cs="Calibri"/>
                <w:lang w:val="en"/>
              </w:rPr>
              <w:t xml:space="preserve">ADDC is effective and accountable. </w:t>
            </w:r>
          </w:p>
          <w:p w14:paraId="0EC4671A" w14:textId="675216A2" w:rsidR="06D305CE" w:rsidRDefault="06D305CE" w:rsidP="06D305CE">
            <w:pPr>
              <w:pStyle w:val="ListParagraph"/>
              <w:numPr>
                <w:ilvl w:val="1"/>
                <w:numId w:val="5"/>
              </w:numPr>
              <w:rPr>
                <w:color w:val="333333"/>
                <w:lang w:val="en"/>
              </w:rPr>
            </w:pPr>
            <w:r w:rsidRPr="06D305CE">
              <w:rPr>
                <w:rFonts w:ascii="Calibri" w:eastAsia="Calibri" w:hAnsi="Calibri" w:cs="Calibri"/>
                <w:lang w:val="en"/>
              </w:rPr>
              <w:t xml:space="preserve">Increase active membership </w:t>
            </w:r>
          </w:p>
          <w:p w14:paraId="5E7ACCE4" w14:textId="02532673" w:rsidR="06D305CE" w:rsidRDefault="06D305CE" w:rsidP="06D305CE">
            <w:pPr>
              <w:rPr>
                <w:rFonts w:ascii="Calibri" w:eastAsia="Calibri" w:hAnsi="Calibri" w:cs="Calibri"/>
                <w:lang w:val="en"/>
              </w:rPr>
            </w:pPr>
          </w:p>
        </w:tc>
      </w:tr>
    </w:tbl>
    <w:p w14:paraId="63ECBDEB" w14:textId="04215407" w:rsidR="06D305CE" w:rsidRDefault="06D305CE" w:rsidP="000D67E7">
      <w:pPr>
        <w:pStyle w:val="ListParagraph"/>
        <w:tabs>
          <w:tab w:val="left" w:pos="142"/>
          <w:tab w:val="left" w:pos="709"/>
        </w:tabs>
        <w:spacing w:before="120" w:after="0" w:line="276" w:lineRule="auto"/>
        <w:ind w:left="0"/>
        <w:contextualSpacing w:val="0"/>
        <w:rPr>
          <w:rFonts w:ascii="Verdana" w:hAnsi="Verdana" w:cs="Helvetica"/>
          <w:color w:val="333333"/>
          <w:sz w:val="18"/>
          <w:szCs w:val="18"/>
          <w:lang w:val="en"/>
        </w:rPr>
      </w:pPr>
      <w:r w:rsidRPr="69767247">
        <w:rPr>
          <w:rFonts w:ascii="Verdana" w:hAnsi="Verdana" w:cs="Helvetica"/>
          <w:color w:val="333333"/>
          <w:sz w:val="18"/>
          <w:szCs w:val="18"/>
          <w:lang w:val="en"/>
        </w:rPr>
        <w:t xml:space="preserve"> </w:t>
      </w:r>
    </w:p>
    <w:p w14:paraId="0DA13569" w14:textId="77777777" w:rsidR="00F043D5" w:rsidRPr="000D67E7" w:rsidRDefault="00F043D5" w:rsidP="000D67E7">
      <w:pPr>
        <w:pStyle w:val="ListParagraph"/>
        <w:tabs>
          <w:tab w:val="left" w:pos="142"/>
          <w:tab w:val="left" w:pos="709"/>
        </w:tabs>
        <w:spacing w:before="120" w:after="0" w:line="276" w:lineRule="auto"/>
        <w:ind w:left="0"/>
        <w:contextualSpacing w:val="0"/>
        <w:rPr>
          <w:rFonts w:cs="Arial"/>
          <w:lang w:val="en-US"/>
        </w:rPr>
      </w:pPr>
    </w:p>
    <w:sectPr w:rsidR="00F043D5" w:rsidRPr="000D67E7" w:rsidSect="00997F9B">
      <w:headerReference w:type="default" r:id="rId11"/>
      <w:pgSz w:w="16838" w:h="11906" w:orient="landscape"/>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B1A0" w14:textId="77777777" w:rsidR="00B206B4" w:rsidRDefault="00B206B4" w:rsidP="00C7369E">
      <w:pPr>
        <w:spacing w:after="0" w:line="240" w:lineRule="auto"/>
      </w:pPr>
      <w:r>
        <w:separator/>
      </w:r>
    </w:p>
  </w:endnote>
  <w:endnote w:type="continuationSeparator" w:id="0">
    <w:p w14:paraId="7940B8B5" w14:textId="77777777" w:rsidR="00B206B4" w:rsidRDefault="00B206B4" w:rsidP="00C7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18A3" w14:textId="77777777" w:rsidR="00B206B4" w:rsidRDefault="00B206B4" w:rsidP="00C7369E">
      <w:pPr>
        <w:spacing w:after="0" w:line="240" w:lineRule="auto"/>
      </w:pPr>
      <w:r>
        <w:separator/>
      </w:r>
    </w:p>
  </w:footnote>
  <w:footnote w:type="continuationSeparator" w:id="0">
    <w:p w14:paraId="722C4861" w14:textId="77777777" w:rsidR="00B206B4" w:rsidRDefault="00B206B4" w:rsidP="00C7369E">
      <w:pPr>
        <w:spacing w:after="0" w:line="240" w:lineRule="auto"/>
      </w:pPr>
      <w:r>
        <w:continuationSeparator/>
      </w:r>
    </w:p>
  </w:footnote>
  <w:footnote w:id="1">
    <w:p w14:paraId="45F22504" w14:textId="72A3A847" w:rsidR="00FC78AB" w:rsidRDefault="00FC78AB">
      <w:pPr>
        <w:pStyle w:val="FootnoteText"/>
      </w:pPr>
      <w:r>
        <w:rPr>
          <w:rStyle w:val="FootnoteReference"/>
        </w:rPr>
        <w:footnoteRef/>
      </w:r>
      <w:r>
        <w:t xml:space="preserve"> </w:t>
      </w:r>
      <w:r w:rsidRPr="00FC78AB">
        <w:t xml:space="preserve">Khan T, Abimbola S, </w:t>
      </w:r>
      <w:proofErr w:type="spellStart"/>
      <w:r w:rsidRPr="00FC78AB">
        <w:t>Kyobutungi</w:t>
      </w:r>
      <w:proofErr w:type="spellEnd"/>
      <w:r w:rsidRPr="00FC78AB">
        <w:t xml:space="preserve"> C, Pai M. </w:t>
      </w:r>
      <w:r w:rsidR="00090D27">
        <w:t>‘</w:t>
      </w:r>
      <w:r w:rsidRPr="00FC78AB">
        <w:t xml:space="preserve">How we classify countries and people-and why </w:t>
      </w:r>
      <w:proofErr w:type="gramStart"/>
      <w:r w:rsidRPr="00FC78AB">
        <w:t>it</w:t>
      </w:r>
      <w:proofErr w:type="gramEnd"/>
      <w:r w:rsidRPr="00FC78AB">
        <w:t xml:space="preserve"> matters</w:t>
      </w:r>
      <w:r w:rsidR="00090D27">
        <w:t>’,</w:t>
      </w:r>
      <w:r w:rsidRPr="00FC78AB">
        <w:t xml:space="preserve"> BMJ Glob Health. 2022 Jun;7(6)</w:t>
      </w:r>
      <w:r>
        <w:t>; access here.</w:t>
      </w:r>
    </w:p>
  </w:footnote>
  <w:footnote w:id="2">
    <w:p w14:paraId="2A921CE0" w14:textId="1433E983" w:rsidR="005916AD" w:rsidRPr="007F5A99" w:rsidRDefault="005916AD">
      <w:pPr>
        <w:pStyle w:val="FootnoteText"/>
      </w:pPr>
      <w:r>
        <w:rPr>
          <w:rStyle w:val="FootnoteReference"/>
        </w:rPr>
        <w:footnoteRef/>
      </w:r>
      <w:r>
        <w:t xml:space="preserve"> ADDC </w:t>
      </w:r>
      <w:r w:rsidRPr="007F5A99">
        <w:t>understands ‘</w:t>
      </w:r>
      <w:r w:rsidR="00B515FC" w:rsidRPr="007F5A99">
        <w:t>collective</w:t>
      </w:r>
      <w:r w:rsidRPr="007F5A99">
        <w:t xml:space="preserve"> voice</w:t>
      </w:r>
      <w:r w:rsidR="00B515FC" w:rsidRPr="007F5A99">
        <w:t>’</w:t>
      </w:r>
      <w:r w:rsidRPr="007F5A99">
        <w:t xml:space="preserve"> to </w:t>
      </w:r>
      <w:r w:rsidR="00B515FC" w:rsidRPr="007F5A99">
        <w:t>encompass</w:t>
      </w:r>
      <w:r w:rsidRPr="007F5A99">
        <w:t xml:space="preserve"> </w:t>
      </w:r>
      <w:r w:rsidR="00090D27" w:rsidRPr="007F5A99">
        <w:t xml:space="preserve">the </w:t>
      </w:r>
      <w:r w:rsidR="00B515FC" w:rsidRPr="007F5A99">
        <w:t>wide range of</w:t>
      </w:r>
      <w:r w:rsidRPr="007F5A99">
        <w:t xml:space="preserve"> different </w:t>
      </w:r>
      <w:r w:rsidR="00B515FC" w:rsidRPr="007F5A99">
        <w:t>forms</w:t>
      </w:r>
      <w:r w:rsidRPr="007F5A99">
        <w:t xml:space="preserve"> of expression</w:t>
      </w:r>
      <w:r w:rsidR="00FD3501" w:rsidRPr="007F5A99">
        <w:t xml:space="preserve"> and communication</w:t>
      </w:r>
      <w:r w:rsidR="00B515FC" w:rsidRPr="007F5A99">
        <w:t>,</w:t>
      </w:r>
      <w:r w:rsidRPr="007F5A99">
        <w:t xml:space="preserve"> </w:t>
      </w:r>
      <w:r w:rsidR="00FD3501" w:rsidRPr="007F5A99">
        <w:t>includ</w:t>
      </w:r>
      <w:r w:rsidR="007F5A99" w:rsidRPr="007F5A99">
        <w:t>ing</w:t>
      </w:r>
      <w:r w:rsidR="00B515FC" w:rsidRPr="007F5A99">
        <w:t xml:space="preserve"> </w:t>
      </w:r>
      <w:r w:rsidR="00B01D22" w:rsidRPr="007F5A99">
        <w:t xml:space="preserve">the collective views of </w:t>
      </w:r>
      <w:r w:rsidR="00B515FC" w:rsidRPr="007F5A99">
        <w:t xml:space="preserve">non-verbal people, and </w:t>
      </w:r>
      <w:r w:rsidR="70BA3997" w:rsidRPr="007F5A99">
        <w:rPr>
          <w:rFonts w:ascii="Calibri" w:eastAsia="Calibri" w:hAnsi="Calibri" w:cs="Calibri"/>
        </w:rPr>
        <w:t>we strive to represent the diversity of voices in our work</w:t>
      </w:r>
      <w:r w:rsidR="00FD3501" w:rsidRPr="007F5A9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AE79" w14:textId="6E17361B" w:rsidR="00E83D35" w:rsidRDefault="007F5A99" w:rsidP="00E83D35">
    <w:pPr>
      <w:pStyle w:val="Header"/>
      <w:jc w:val="right"/>
    </w:pPr>
    <w:r>
      <w:t>Approved 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1270FB"/>
    <w:multiLevelType w:val="hybridMultilevel"/>
    <w:tmpl w:val="3AA67B62"/>
    <w:lvl w:ilvl="0" w:tplc="F83A8B62">
      <w:start w:val="1"/>
      <w:numFmt w:val="bullet"/>
      <w:lvlText w:val=""/>
      <w:lvlJc w:val="left"/>
      <w:pPr>
        <w:ind w:left="720" w:hanging="360"/>
      </w:pPr>
      <w:rPr>
        <w:rFonts w:ascii="Symbol" w:hAnsi="Symbol" w:hint="default"/>
      </w:rPr>
    </w:lvl>
    <w:lvl w:ilvl="1" w:tplc="A82ABBCE">
      <w:start w:val="1"/>
      <w:numFmt w:val="bullet"/>
      <w:lvlText w:val=""/>
      <w:lvlJc w:val="left"/>
      <w:pPr>
        <w:ind w:left="1440" w:hanging="360"/>
      </w:pPr>
      <w:rPr>
        <w:rFonts w:ascii="Symbol" w:hAnsi="Symbol" w:hint="default"/>
      </w:rPr>
    </w:lvl>
    <w:lvl w:ilvl="2" w:tplc="514C6648">
      <w:start w:val="1"/>
      <w:numFmt w:val="bullet"/>
      <w:lvlText w:val=""/>
      <w:lvlJc w:val="left"/>
      <w:pPr>
        <w:ind w:left="2160" w:hanging="360"/>
      </w:pPr>
      <w:rPr>
        <w:rFonts w:ascii="Wingdings" w:hAnsi="Wingdings" w:hint="default"/>
      </w:rPr>
    </w:lvl>
    <w:lvl w:ilvl="3" w:tplc="53DC9408">
      <w:start w:val="1"/>
      <w:numFmt w:val="bullet"/>
      <w:lvlText w:val=""/>
      <w:lvlJc w:val="left"/>
      <w:pPr>
        <w:ind w:left="2880" w:hanging="360"/>
      </w:pPr>
      <w:rPr>
        <w:rFonts w:ascii="Symbol" w:hAnsi="Symbol" w:hint="default"/>
      </w:rPr>
    </w:lvl>
    <w:lvl w:ilvl="4" w:tplc="90FA3D1C">
      <w:start w:val="1"/>
      <w:numFmt w:val="bullet"/>
      <w:lvlText w:val="o"/>
      <w:lvlJc w:val="left"/>
      <w:pPr>
        <w:ind w:left="3600" w:hanging="360"/>
      </w:pPr>
      <w:rPr>
        <w:rFonts w:ascii="Courier New" w:hAnsi="Courier New" w:hint="default"/>
      </w:rPr>
    </w:lvl>
    <w:lvl w:ilvl="5" w:tplc="E4565446">
      <w:start w:val="1"/>
      <w:numFmt w:val="bullet"/>
      <w:lvlText w:val=""/>
      <w:lvlJc w:val="left"/>
      <w:pPr>
        <w:ind w:left="4320" w:hanging="360"/>
      </w:pPr>
      <w:rPr>
        <w:rFonts w:ascii="Wingdings" w:hAnsi="Wingdings" w:hint="default"/>
      </w:rPr>
    </w:lvl>
    <w:lvl w:ilvl="6" w:tplc="85686976">
      <w:start w:val="1"/>
      <w:numFmt w:val="bullet"/>
      <w:lvlText w:val=""/>
      <w:lvlJc w:val="left"/>
      <w:pPr>
        <w:ind w:left="5040" w:hanging="360"/>
      </w:pPr>
      <w:rPr>
        <w:rFonts w:ascii="Symbol" w:hAnsi="Symbol" w:hint="default"/>
      </w:rPr>
    </w:lvl>
    <w:lvl w:ilvl="7" w:tplc="63A2C1CA">
      <w:start w:val="1"/>
      <w:numFmt w:val="bullet"/>
      <w:lvlText w:val="o"/>
      <w:lvlJc w:val="left"/>
      <w:pPr>
        <w:ind w:left="5760" w:hanging="360"/>
      </w:pPr>
      <w:rPr>
        <w:rFonts w:ascii="Courier New" w:hAnsi="Courier New" w:hint="default"/>
      </w:rPr>
    </w:lvl>
    <w:lvl w:ilvl="8" w:tplc="0118557E">
      <w:start w:val="1"/>
      <w:numFmt w:val="bullet"/>
      <w:lvlText w:val=""/>
      <w:lvlJc w:val="left"/>
      <w:pPr>
        <w:ind w:left="6480" w:hanging="360"/>
      </w:pPr>
      <w:rPr>
        <w:rFonts w:ascii="Wingdings" w:hAnsi="Wingdings" w:hint="default"/>
      </w:rPr>
    </w:lvl>
  </w:abstractNum>
  <w:abstractNum w:abstractNumId="1" w15:restartNumberingAfterBreak="0">
    <w:nsid w:val="064546AC"/>
    <w:multiLevelType w:val="hybridMultilevel"/>
    <w:tmpl w:val="0016A70A"/>
    <w:lvl w:ilvl="0" w:tplc="B6CC251E">
      <w:start w:val="1"/>
      <w:numFmt w:val="bullet"/>
      <w:lvlText w:val=""/>
      <w:lvlJc w:val="left"/>
      <w:pPr>
        <w:ind w:left="720" w:hanging="360"/>
      </w:pPr>
      <w:rPr>
        <w:rFonts w:ascii="Symbol" w:hAnsi="Symbol" w:hint="default"/>
      </w:rPr>
    </w:lvl>
    <w:lvl w:ilvl="1" w:tplc="3450602A">
      <w:start w:val="1"/>
      <w:numFmt w:val="bullet"/>
      <w:lvlText w:val="o"/>
      <w:lvlJc w:val="left"/>
      <w:pPr>
        <w:ind w:left="1440" w:hanging="360"/>
      </w:pPr>
      <w:rPr>
        <w:rFonts w:ascii="Courier New" w:hAnsi="Courier New" w:hint="default"/>
      </w:rPr>
    </w:lvl>
    <w:lvl w:ilvl="2" w:tplc="83AAA7F8">
      <w:start w:val="1"/>
      <w:numFmt w:val="bullet"/>
      <w:lvlText w:val=""/>
      <w:lvlJc w:val="left"/>
      <w:pPr>
        <w:ind w:left="2160" w:hanging="360"/>
      </w:pPr>
      <w:rPr>
        <w:rFonts w:ascii="Wingdings" w:hAnsi="Wingdings" w:hint="default"/>
      </w:rPr>
    </w:lvl>
    <w:lvl w:ilvl="3" w:tplc="4B160858">
      <w:start w:val="1"/>
      <w:numFmt w:val="bullet"/>
      <w:lvlText w:val=""/>
      <w:lvlJc w:val="left"/>
      <w:pPr>
        <w:ind w:left="2880" w:hanging="360"/>
      </w:pPr>
      <w:rPr>
        <w:rFonts w:ascii="Symbol" w:hAnsi="Symbol" w:hint="default"/>
      </w:rPr>
    </w:lvl>
    <w:lvl w:ilvl="4" w:tplc="8D00A83E">
      <w:start w:val="1"/>
      <w:numFmt w:val="bullet"/>
      <w:lvlText w:val="o"/>
      <w:lvlJc w:val="left"/>
      <w:pPr>
        <w:ind w:left="3600" w:hanging="360"/>
      </w:pPr>
      <w:rPr>
        <w:rFonts w:ascii="Courier New" w:hAnsi="Courier New" w:hint="default"/>
      </w:rPr>
    </w:lvl>
    <w:lvl w:ilvl="5" w:tplc="E38AA8F0">
      <w:start w:val="1"/>
      <w:numFmt w:val="bullet"/>
      <w:lvlText w:val=""/>
      <w:lvlJc w:val="left"/>
      <w:pPr>
        <w:ind w:left="4320" w:hanging="360"/>
      </w:pPr>
      <w:rPr>
        <w:rFonts w:ascii="Wingdings" w:hAnsi="Wingdings" w:hint="default"/>
      </w:rPr>
    </w:lvl>
    <w:lvl w:ilvl="6" w:tplc="7EBA423C">
      <w:start w:val="1"/>
      <w:numFmt w:val="bullet"/>
      <w:lvlText w:val=""/>
      <w:lvlJc w:val="left"/>
      <w:pPr>
        <w:ind w:left="5040" w:hanging="360"/>
      </w:pPr>
      <w:rPr>
        <w:rFonts w:ascii="Symbol" w:hAnsi="Symbol" w:hint="default"/>
      </w:rPr>
    </w:lvl>
    <w:lvl w:ilvl="7" w:tplc="76C0120C">
      <w:start w:val="1"/>
      <w:numFmt w:val="bullet"/>
      <w:lvlText w:val="o"/>
      <w:lvlJc w:val="left"/>
      <w:pPr>
        <w:ind w:left="5760" w:hanging="360"/>
      </w:pPr>
      <w:rPr>
        <w:rFonts w:ascii="Courier New" w:hAnsi="Courier New" w:hint="default"/>
      </w:rPr>
    </w:lvl>
    <w:lvl w:ilvl="8" w:tplc="9B36154A">
      <w:start w:val="1"/>
      <w:numFmt w:val="bullet"/>
      <w:lvlText w:val=""/>
      <w:lvlJc w:val="left"/>
      <w:pPr>
        <w:ind w:left="6480" w:hanging="360"/>
      </w:pPr>
      <w:rPr>
        <w:rFonts w:ascii="Wingdings" w:hAnsi="Wingdings" w:hint="default"/>
      </w:rPr>
    </w:lvl>
  </w:abstractNum>
  <w:abstractNum w:abstractNumId="2" w15:restartNumberingAfterBreak="0">
    <w:nsid w:val="0735348C"/>
    <w:multiLevelType w:val="hybridMultilevel"/>
    <w:tmpl w:val="ECA4001A"/>
    <w:lvl w:ilvl="0" w:tplc="4044C898">
      <w:start w:val="1"/>
      <w:numFmt w:val="decimal"/>
      <w:lvlText w:val="%1."/>
      <w:lvlJc w:val="left"/>
      <w:pPr>
        <w:ind w:left="720" w:hanging="360"/>
      </w:pPr>
      <w:rPr>
        <w:rFonts w:ascii="Verdana" w:eastAsiaTheme="minorHAnsi" w:hAnsi="Verdana" w:cstheme="minorBid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B5470"/>
    <w:multiLevelType w:val="hybridMultilevel"/>
    <w:tmpl w:val="4B100080"/>
    <w:lvl w:ilvl="0" w:tplc="9F702238">
      <w:start w:val="1"/>
      <w:numFmt w:val="bullet"/>
      <w:lvlText w:val="-"/>
      <w:lvlJc w:val="left"/>
      <w:pPr>
        <w:tabs>
          <w:tab w:val="num" w:pos="720"/>
        </w:tabs>
        <w:ind w:left="720" w:hanging="360"/>
      </w:pPr>
      <w:rPr>
        <w:rFonts w:ascii="Arial" w:hAnsi="Arial" w:hint="default"/>
      </w:rPr>
    </w:lvl>
    <w:lvl w:ilvl="1" w:tplc="00C86F32" w:tentative="1">
      <w:start w:val="1"/>
      <w:numFmt w:val="bullet"/>
      <w:lvlText w:val="-"/>
      <w:lvlJc w:val="left"/>
      <w:pPr>
        <w:tabs>
          <w:tab w:val="num" w:pos="1440"/>
        </w:tabs>
        <w:ind w:left="1440" w:hanging="360"/>
      </w:pPr>
      <w:rPr>
        <w:rFonts w:ascii="Arial" w:hAnsi="Arial" w:hint="default"/>
      </w:rPr>
    </w:lvl>
    <w:lvl w:ilvl="2" w:tplc="4F8075D8" w:tentative="1">
      <w:start w:val="1"/>
      <w:numFmt w:val="bullet"/>
      <w:lvlText w:val="-"/>
      <w:lvlJc w:val="left"/>
      <w:pPr>
        <w:tabs>
          <w:tab w:val="num" w:pos="2160"/>
        </w:tabs>
        <w:ind w:left="2160" w:hanging="360"/>
      </w:pPr>
      <w:rPr>
        <w:rFonts w:ascii="Arial" w:hAnsi="Arial" w:hint="default"/>
      </w:rPr>
    </w:lvl>
    <w:lvl w:ilvl="3" w:tplc="586A316A" w:tentative="1">
      <w:start w:val="1"/>
      <w:numFmt w:val="bullet"/>
      <w:lvlText w:val="-"/>
      <w:lvlJc w:val="left"/>
      <w:pPr>
        <w:tabs>
          <w:tab w:val="num" w:pos="2880"/>
        </w:tabs>
        <w:ind w:left="2880" w:hanging="360"/>
      </w:pPr>
      <w:rPr>
        <w:rFonts w:ascii="Arial" w:hAnsi="Arial" w:hint="default"/>
      </w:rPr>
    </w:lvl>
    <w:lvl w:ilvl="4" w:tplc="296C67B8" w:tentative="1">
      <w:start w:val="1"/>
      <w:numFmt w:val="bullet"/>
      <w:lvlText w:val="-"/>
      <w:lvlJc w:val="left"/>
      <w:pPr>
        <w:tabs>
          <w:tab w:val="num" w:pos="3600"/>
        </w:tabs>
        <w:ind w:left="3600" w:hanging="360"/>
      </w:pPr>
      <w:rPr>
        <w:rFonts w:ascii="Arial" w:hAnsi="Arial" w:hint="default"/>
      </w:rPr>
    </w:lvl>
    <w:lvl w:ilvl="5" w:tplc="68B0812C" w:tentative="1">
      <w:start w:val="1"/>
      <w:numFmt w:val="bullet"/>
      <w:lvlText w:val="-"/>
      <w:lvlJc w:val="left"/>
      <w:pPr>
        <w:tabs>
          <w:tab w:val="num" w:pos="4320"/>
        </w:tabs>
        <w:ind w:left="4320" w:hanging="360"/>
      </w:pPr>
      <w:rPr>
        <w:rFonts w:ascii="Arial" w:hAnsi="Arial" w:hint="default"/>
      </w:rPr>
    </w:lvl>
    <w:lvl w:ilvl="6" w:tplc="E4DA3C80" w:tentative="1">
      <w:start w:val="1"/>
      <w:numFmt w:val="bullet"/>
      <w:lvlText w:val="-"/>
      <w:lvlJc w:val="left"/>
      <w:pPr>
        <w:tabs>
          <w:tab w:val="num" w:pos="5040"/>
        </w:tabs>
        <w:ind w:left="5040" w:hanging="360"/>
      </w:pPr>
      <w:rPr>
        <w:rFonts w:ascii="Arial" w:hAnsi="Arial" w:hint="default"/>
      </w:rPr>
    </w:lvl>
    <w:lvl w:ilvl="7" w:tplc="522007E0" w:tentative="1">
      <w:start w:val="1"/>
      <w:numFmt w:val="bullet"/>
      <w:lvlText w:val="-"/>
      <w:lvlJc w:val="left"/>
      <w:pPr>
        <w:tabs>
          <w:tab w:val="num" w:pos="5760"/>
        </w:tabs>
        <w:ind w:left="5760" w:hanging="360"/>
      </w:pPr>
      <w:rPr>
        <w:rFonts w:ascii="Arial" w:hAnsi="Arial" w:hint="default"/>
      </w:rPr>
    </w:lvl>
    <w:lvl w:ilvl="8" w:tplc="79E4C2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7879E7"/>
    <w:multiLevelType w:val="multilevel"/>
    <w:tmpl w:val="766200F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212C8"/>
    <w:multiLevelType w:val="multilevel"/>
    <w:tmpl w:val="91BC5560"/>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8E4E3B"/>
    <w:multiLevelType w:val="hybridMultilevel"/>
    <w:tmpl w:val="F0E8951A"/>
    <w:lvl w:ilvl="0" w:tplc="6E426736">
      <w:numFmt w:val="bullet"/>
      <w:lvlText w:val="-"/>
      <w:lvlJc w:val="left"/>
      <w:pPr>
        <w:tabs>
          <w:tab w:val="num" w:pos="720"/>
        </w:tabs>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10101"/>
    <w:multiLevelType w:val="hybridMultilevel"/>
    <w:tmpl w:val="44C25296"/>
    <w:lvl w:ilvl="0" w:tplc="D42C5172">
      <w:start w:val="1"/>
      <w:numFmt w:val="bullet"/>
      <w:lvlText w:val=""/>
      <w:lvlJc w:val="left"/>
      <w:pPr>
        <w:ind w:left="720" w:hanging="360"/>
      </w:pPr>
      <w:rPr>
        <w:rFonts w:ascii="Symbol" w:hAnsi="Symbol" w:hint="default"/>
      </w:rPr>
    </w:lvl>
    <w:lvl w:ilvl="1" w:tplc="FF527BA6">
      <w:start w:val="1"/>
      <w:numFmt w:val="bullet"/>
      <w:lvlText w:val=""/>
      <w:lvlJc w:val="left"/>
      <w:pPr>
        <w:ind w:left="1440" w:hanging="360"/>
      </w:pPr>
      <w:rPr>
        <w:rFonts w:ascii="Symbol" w:hAnsi="Symbol" w:hint="default"/>
      </w:rPr>
    </w:lvl>
    <w:lvl w:ilvl="2" w:tplc="159ED332">
      <w:start w:val="1"/>
      <w:numFmt w:val="bullet"/>
      <w:lvlText w:val=""/>
      <w:lvlJc w:val="left"/>
      <w:pPr>
        <w:ind w:left="2160" w:hanging="360"/>
      </w:pPr>
      <w:rPr>
        <w:rFonts w:ascii="Wingdings" w:hAnsi="Wingdings" w:hint="default"/>
      </w:rPr>
    </w:lvl>
    <w:lvl w:ilvl="3" w:tplc="E53EF934">
      <w:start w:val="1"/>
      <w:numFmt w:val="bullet"/>
      <w:lvlText w:val=""/>
      <w:lvlJc w:val="left"/>
      <w:pPr>
        <w:ind w:left="2880" w:hanging="360"/>
      </w:pPr>
      <w:rPr>
        <w:rFonts w:ascii="Symbol" w:hAnsi="Symbol" w:hint="default"/>
      </w:rPr>
    </w:lvl>
    <w:lvl w:ilvl="4" w:tplc="F85A29AE">
      <w:start w:val="1"/>
      <w:numFmt w:val="bullet"/>
      <w:lvlText w:val="o"/>
      <w:lvlJc w:val="left"/>
      <w:pPr>
        <w:ind w:left="3600" w:hanging="360"/>
      </w:pPr>
      <w:rPr>
        <w:rFonts w:ascii="Courier New" w:hAnsi="Courier New" w:hint="default"/>
      </w:rPr>
    </w:lvl>
    <w:lvl w:ilvl="5" w:tplc="5644F19C">
      <w:start w:val="1"/>
      <w:numFmt w:val="bullet"/>
      <w:lvlText w:val=""/>
      <w:lvlJc w:val="left"/>
      <w:pPr>
        <w:ind w:left="4320" w:hanging="360"/>
      </w:pPr>
      <w:rPr>
        <w:rFonts w:ascii="Wingdings" w:hAnsi="Wingdings" w:hint="default"/>
      </w:rPr>
    </w:lvl>
    <w:lvl w:ilvl="6" w:tplc="7B9C92A2">
      <w:start w:val="1"/>
      <w:numFmt w:val="bullet"/>
      <w:lvlText w:val=""/>
      <w:lvlJc w:val="left"/>
      <w:pPr>
        <w:ind w:left="5040" w:hanging="360"/>
      </w:pPr>
      <w:rPr>
        <w:rFonts w:ascii="Symbol" w:hAnsi="Symbol" w:hint="default"/>
      </w:rPr>
    </w:lvl>
    <w:lvl w:ilvl="7" w:tplc="E848AE66">
      <w:start w:val="1"/>
      <w:numFmt w:val="bullet"/>
      <w:lvlText w:val="o"/>
      <w:lvlJc w:val="left"/>
      <w:pPr>
        <w:ind w:left="5760" w:hanging="360"/>
      </w:pPr>
      <w:rPr>
        <w:rFonts w:ascii="Courier New" w:hAnsi="Courier New" w:hint="default"/>
      </w:rPr>
    </w:lvl>
    <w:lvl w:ilvl="8" w:tplc="EDF4600E">
      <w:start w:val="1"/>
      <w:numFmt w:val="bullet"/>
      <w:lvlText w:val=""/>
      <w:lvlJc w:val="left"/>
      <w:pPr>
        <w:ind w:left="6480" w:hanging="360"/>
      </w:pPr>
      <w:rPr>
        <w:rFonts w:ascii="Wingdings" w:hAnsi="Wingdings" w:hint="default"/>
      </w:rPr>
    </w:lvl>
  </w:abstractNum>
  <w:abstractNum w:abstractNumId="8" w15:restartNumberingAfterBreak="0">
    <w:nsid w:val="16BD75F1"/>
    <w:multiLevelType w:val="hybridMultilevel"/>
    <w:tmpl w:val="7C1231EA"/>
    <w:lvl w:ilvl="0" w:tplc="6E426736">
      <w:numFmt w:val="bullet"/>
      <w:lvlText w:val="-"/>
      <w:lvlJc w:val="left"/>
      <w:pPr>
        <w:tabs>
          <w:tab w:val="num" w:pos="720"/>
        </w:tabs>
        <w:ind w:left="720" w:hanging="360"/>
      </w:pPr>
      <w:rPr>
        <w:rFonts w:ascii="Calibri" w:eastAsia="Times New Roman" w:hAnsi="Calibri" w:cs="Arial" w:hint="default"/>
      </w:rPr>
    </w:lvl>
    <w:lvl w:ilvl="1" w:tplc="6E426736">
      <w:numFmt w:val="bullet"/>
      <w:lvlText w:val="-"/>
      <w:lvlJc w:val="left"/>
      <w:pPr>
        <w:tabs>
          <w:tab w:val="num" w:pos="1440"/>
        </w:tabs>
        <w:ind w:left="1440" w:hanging="360"/>
      </w:pPr>
      <w:rPr>
        <w:rFonts w:ascii="Calibri" w:eastAsia="Times New Roman" w:hAnsi="Calibri" w:cs="Arial" w:hint="default"/>
      </w:rPr>
    </w:lvl>
    <w:lvl w:ilvl="2" w:tplc="0262C928" w:tentative="1">
      <w:start w:val="1"/>
      <w:numFmt w:val="bullet"/>
      <w:lvlText w:val=""/>
      <w:lvlJc w:val="left"/>
      <w:pPr>
        <w:tabs>
          <w:tab w:val="num" w:pos="2160"/>
        </w:tabs>
        <w:ind w:left="2160" w:hanging="360"/>
      </w:pPr>
      <w:rPr>
        <w:rFonts w:ascii="Wingdings 3" w:hAnsi="Wingdings 3" w:hint="default"/>
      </w:rPr>
    </w:lvl>
    <w:lvl w:ilvl="3" w:tplc="B464E5A6" w:tentative="1">
      <w:start w:val="1"/>
      <w:numFmt w:val="bullet"/>
      <w:lvlText w:val=""/>
      <w:lvlJc w:val="left"/>
      <w:pPr>
        <w:tabs>
          <w:tab w:val="num" w:pos="2880"/>
        </w:tabs>
        <w:ind w:left="2880" w:hanging="360"/>
      </w:pPr>
      <w:rPr>
        <w:rFonts w:ascii="Wingdings 3" w:hAnsi="Wingdings 3" w:hint="default"/>
      </w:rPr>
    </w:lvl>
    <w:lvl w:ilvl="4" w:tplc="94063A2C" w:tentative="1">
      <w:start w:val="1"/>
      <w:numFmt w:val="bullet"/>
      <w:lvlText w:val=""/>
      <w:lvlJc w:val="left"/>
      <w:pPr>
        <w:tabs>
          <w:tab w:val="num" w:pos="3600"/>
        </w:tabs>
        <w:ind w:left="3600" w:hanging="360"/>
      </w:pPr>
      <w:rPr>
        <w:rFonts w:ascii="Wingdings 3" w:hAnsi="Wingdings 3" w:hint="default"/>
      </w:rPr>
    </w:lvl>
    <w:lvl w:ilvl="5" w:tplc="1A00CF10" w:tentative="1">
      <w:start w:val="1"/>
      <w:numFmt w:val="bullet"/>
      <w:lvlText w:val=""/>
      <w:lvlJc w:val="left"/>
      <w:pPr>
        <w:tabs>
          <w:tab w:val="num" w:pos="4320"/>
        </w:tabs>
        <w:ind w:left="4320" w:hanging="360"/>
      </w:pPr>
      <w:rPr>
        <w:rFonts w:ascii="Wingdings 3" w:hAnsi="Wingdings 3" w:hint="default"/>
      </w:rPr>
    </w:lvl>
    <w:lvl w:ilvl="6" w:tplc="20164850" w:tentative="1">
      <w:start w:val="1"/>
      <w:numFmt w:val="bullet"/>
      <w:lvlText w:val=""/>
      <w:lvlJc w:val="left"/>
      <w:pPr>
        <w:tabs>
          <w:tab w:val="num" w:pos="5040"/>
        </w:tabs>
        <w:ind w:left="5040" w:hanging="360"/>
      </w:pPr>
      <w:rPr>
        <w:rFonts w:ascii="Wingdings 3" w:hAnsi="Wingdings 3" w:hint="default"/>
      </w:rPr>
    </w:lvl>
    <w:lvl w:ilvl="7" w:tplc="84566312" w:tentative="1">
      <w:start w:val="1"/>
      <w:numFmt w:val="bullet"/>
      <w:lvlText w:val=""/>
      <w:lvlJc w:val="left"/>
      <w:pPr>
        <w:tabs>
          <w:tab w:val="num" w:pos="5760"/>
        </w:tabs>
        <w:ind w:left="5760" w:hanging="360"/>
      </w:pPr>
      <w:rPr>
        <w:rFonts w:ascii="Wingdings 3" w:hAnsi="Wingdings 3" w:hint="default"/>
      </w:rPr>
    </w:lvl>
    <w:lvl w:ilvl="8" w:tplc="447238F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7455808"/>
    <w:multiLevelType w:val="multilevel"/>
    <w:tmpl w:val="D6C279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17467F"/>
    <w:multiLevelType w:val="hybridMultilevel"/>
    <w:tmpl w:val="5A56E8BC"/>
    <w:lvl w:ilvl="0" w:tplc="6E426736">
      <w:numFmt w:val="bullet"/>
      <w:lvlText w:val="-"/>
      <w:lvlJc w:val="left"/>
      <w:pPr>
        <w:tabs>
          <w:tab w:val="num" w:pos="720"/>
        </w:tabs>
        <w:ind w:left="720" w:hanging="360"/>
      </w:pPr>
      <w:rPr>
        <w:rFonts w:ascii="Calibri" w:eastAsia="Times New Roman" w:hAnsi="Calibri" w:cs="Arial" w:hint="default"/>
      </w:rPr>
    </w:lvl>
    <w:lvl w:ilvl="1" w:tplc="6E426736">
      <w:numFmt w:val="bullet"/>
      <w:lvlText w:val="-"/>
      <w:lvlJc w:val="left"/>
      <w:pPr>
        <w:tabs>
          <w:tab w:val="num" w:pos="1440"/>
        </w:tabs>
        <w:ind w:left="1440" w:hanging="360"/>
      </w:pPr>
      <w:rPr>
        <w:rFonts w:ascii="Calibri" w:eastAsia="Times New Roman" w:hAnsi="Calibri" w:cs="Arial" w:hint="default"/>
      </w:rPr>
    </w:lvl>
    <w:lvl w:ilvl="2" w:tplc="0262C928" w:tentative="1">
      <w:start w:val="1"/>
      <w:numFmt w:val="bullet"/>
      <w:lvlText w:val=""/>
      <w:lvlJc w:val="left"/>
      <w:pPr>
        <w:tabs>
          <w:tab w:val="num" w:pos="2160"/>
        </w:tabs>
        <w:ind w:left="2160" w:hanging="360"/>
      </w:pPr>
      <w:rPr>
        <w:rFonts w:ascii="Wingdings 3" w:hAnsi="Wingdings 3" w:hint="default"/>
      </w:rPr>
    </w:lvl>
    <w:lvl w:ilvl="3" w:tplc="B464E5A6" w:tentative="1">
      <w:start w:val="1"/>
      <w:numFmt w:val="bullet"/>
      <w:lvlText w:val=""/>
      <w:lvlJc w:val="left"/>
      <w:pPr>
        <w:tabs>
          <w:tab w:val="num" w:pos="2880"/>
        </w:tabs>
        <w:ind w:left="2880" w:hanging="360"/>
      </w:pPr>
      <w:rPr>
        <w:rFonts w:ascii="Wingdings 3" w:hAnsi="Wingdings 3" w:hint="default"/>
      </w:rPr>
    </w:lvl>
    <w:lvl w:ilvl="4" w:tplc="94063A2C" w:tentative="1">
      <w:start w:val="1"/>
      <w:numFmt w:val="bullet"/>
      <w:lvlText w:val=""/>
      <w:lvlJc w:val="left"/>
      <w:pPr>
        <w:tabs>
          <w:tab w:val="num" w:pos="3600"/>
        </w:tabs>
        <w:ind w:left="3600" w:hanging="360"/>
      </w:pPr>
      <w:rPr>
        <w:rFonts w:ascii="Wingdings 3" w:hAnsi="Wingdings 3" w:hint="default"/>
      </w:rPr>
    </w:lvl>
    <w:lvl w:ilvl="5" w:tplc="1A00CF10" w:tentative="1">
      <w:start w:val="1"/>
      <w:numFmt w:val="bullet"/>
      <w:lvlText w:val=""/>
      <w:lvlJc w:val="left"/>
      <w:pPr>
        <w:tabs>
          <w:tab w:val="num" w:pos="4320"/>
        </w:tabs>
        <w:ind w:left="4320" w:hanging="360"/>
      </w:pPr>
      <w:rPr>
        <w:rFonts w:ascii="Wingdings 3" w:hAnsi="Wingdings 3" w:hint="default"/>
      </w:rPr>
    </w:lvl>
    <w:lvl w:ilvl="6" w:tplc="20164850" w:tentative="1">
      <w:start w:val="1"/>
      <w:numFmt w:val="bullet"/>
      <w:lvlText w:val=""/>
      <w:lvlJc w:val="left"/>
      <w:pPr>
        <w:tabs>
          <w:tab w:val="num" w:pos="5040"/>
        </w:tabs>
        <w:ind w:left="5040" w:hanging="360"/>
      </w:pPr>
      <w:rPr>
        <w:rFonts w:ascii="Wingdings 3" w:hAnsi="Wingdings 3" w:hint="default"/>
      </w:rPr>
    </w:lvl>
    <w:lvl w:ilvl="7" w:tplc="84566312" w:tentative="1">
      <w:start w:val="1"/>
      <w:numFmt w:val="bullet"/>
      <w:lvlText w:val=""/>
      <w:lvlJc w:val="left"/>
      <w:pPr>
        <w:tabs>
          <w:tab w:val="num" w:pos="5760"/>
        </w:tabs>
        <w:ind w:left="5760" w:hanging="360"/>
      </w:pPr>
      <w:rPr>
        <w:rFonts w:ascii="Wingdings 3" w:hAnsi="Wingdings 3" w:hint="default"/>
      </w:rPr>
    </w:lvl>
    <w:lvl w:ilvl="8" w:tplc="447238F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BAD62FD"/>
    <w:multiLevelType w:val="hybridMultilevel"/>
    <w:tmpl w:val="975AD27E"/>
    <w:lvl w:ilvl="0" w:tplc="D2F47B8C">
      <w:start w:val="1"/>
      <w:numFmt w:val="bullet"/>
      <w:lvlText w:val=""/>
      <w:lvlJc w:val="left"/>
      <w:pPr>
        <w:ind w:left="720" w:hanging="360"/>
      </w:pPr>
      <w:rPr>
        <w:rFonts w:ascii="Symbol" w:hAnsi="Symbol" w:hint="default"/>
      </w:rPr>
    </w:lvl>
    <w:lvl w:ilvl="1" w:tplc="1BB8DFCA">
      <w:start w:val="1"/>
      <w:numFmt w:val="bullet"/>
      <w:lvlText w:val="o"/>
      <w:lvlJc w:val="left"/>
      <w:pPr>
        <w:ind w:left="1440" w:hanging="360"/>
      </w:pPr>
      <w:rPr>
        <w:rFonts w:ascii="Courier New" w:hAnsi="Courier New" w:hint="default"/>
      </w:rPr>
    </w:lvl>
    <w:lvl w:ilvl="2" w:tplc="DD1AE95E">
      <w:start w:val="1"/>
      <w:numFmt w:val="bullet"/>
      <w:lvlText w:val=""/>
      <w:lvlJc w:val="left"/>
      <w:pPr>
        <w:ind w:left="2160" w:hanging="360"/>
      </w:pPr>
      <w:rPr>
        <w:rFonts w:ascii="Wingdings" w:hAnsi="Wingdings" w:hint="default"/>
      </w:rPr>
    </w:lvl>
    <w:lvl w:ilvl="3" w:tplc="4EF0C532">
      <w:start w:val="1"/>
      <w:numFmt w:val="bullet"/>
      <w:lvlText w:val=""/>
      <w:lvlJc w:val="left"/>
      <w:pPr>
        <w:ind w:left="2880" w:hanging="360"/>
      </w:pPr>
      <w:rPr>
        <w:rFonts w:ascii="Symbol" w:hAnsi="Symbol" w:hint="default"/>
      </w:rPr>
    </w:lvl>
    <w:lvl w:ilvl="4" w:tplc="B7EC84C0">
      <w:start w:val="1"/>
      <w:numFmt w:val="bullet"/>
      <w:lvlText w:val="o"/>
      <w:lvlJc w:val="left"/>
      <w:pPr>
        <w:ind w:left="3600" w:hanging="360"/>
      </w:pPr>
      <w:rPr>
        <w:rFonts w:ascii="Courier New" w:hAnsi="Courier New" w:hint="default"/>
      </w:rPr>
    </w:lvl>
    <w:lvl w:ilvl="5" w:tplc="3336F36A">
      <w:start w:val="1"/>
      <w:numFmt w:val="bullet"/>
      <w:lvlText w:val=""/>
      <w:lvlJc w:val="left"/>
      <w:pPr>
        <w:ind w:left="4320" w:hanging="360"/>
      </w:pPr>
      <w:rPr>
        <w:rFonts w:ascii="Wingdings" w:hAnsi="Wingdings" w:hint="default"/>
      </w:rPr>
    </w:lvl>
    <w:lvl w:ilvl="6" w:tplc="E70EB740">
      <w:start w:val="1"/>
      <w:numFmt w:val="bullet"/>
      <w:lvlText w:val=""/>
      <w:lvlJc w:val="left"/>
      <w:pPr>
        <w:ind w:left="5040" w:hanging="360"/>
      </w:pPr>
      <w:rPr>
        <w:rFonts w:ascii="Symbol" w:hAnsi="Symbol" w:hint="default"/>
      </w:rPr>
    </w:lvl>
    <w:lvl w:ilvl="7" w:tplc="AF783C66">
      <w:start w:val="1"/>
      <w:numFmt w:val="bullet"/>
      <w:lvlText w:val="o"/>
      <w:lvlJc w:val="left"/>
      <w:pPr>
        <w:ind w:left="5760" w:hanging="360"/>
      </w:pPr>
      <w:rPr>
        <w:rFonts w:ascii="Courier New" w:hAnsi="Courier New" w:hint="default"/>
      </w:rPr>
    </w:lvl>
    <w:lvl w:ilvl="8" w:tplc="9878CD4C">
      <w:start w:val="1"/>
      <w:numFmt w:val="bullet"/>
      <w:lvlText w:val=""/>
      <w:lvlJc w:val="left"/>
      <w:pPr>
        <w:ind w:left="6480" w:hanging="360"/>
      </w:pPr>
      <w:rPr>
        <w:rFonts w:ascii="Wingdings" w:hAnsi="Wingdings" w:hint="default"/>
      </w:rPr>
    </w:lvl>
  </w:abstractNum>
  <w:abstractNum w:abstractNumId="12" w15:restartNumberingAfterBreak="0">
    <w:nsid w:val="1BB760ED"/>
    <w:multiLevelType w:val="hybridMultilevel"/>
    <w:tmpl w:val="5E58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2D2F68"/>
    <w:multiLevelType w:val="hybridMultilevel"/>
    <w:tmpl w:val="BE24198E"/>
    <w:lvl w:ilvl="0" w:tplc="7BD87916">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25470E"/>
    <w:multiLevelType w:val="hybridMultilevel"/>
    <w:tmpl w:val="55AC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2532D3"/>
    <w:multiLevelType w:val="hybridMultilevel"/>
    <w:tmpl w:val="EA204B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2E756A"/>
    <w:multiLevelType w:val="hybridMultilevel"/>
    <w:tmpl w:val="6C0A2F3C"/>
    <w:lvl w:ilvl="0" w:tplc="974EFC6A">
      <w:start w:val="1"/>
      <w:numFmt w:val="bullet"/>
      <w:lvlText w:val=""/>
      <w:lvlJc w:val="left"/>
      <w:pPr>
        <w:ind w:left="720" w:hanging="360"/>
      </w:pPr>
      <w:rPr>
        <w:rFonts w:ascii="Symbol" w:hAnsi="Symbol" w:hint="default"/>
      </w:rPr>
    </w:lvl>
    <w:lvl w:ilvl="1" w:tplc="3B88276E">
      <w:start w:val="1"/>
      <w:numFmt w:val="bullet"/>
      <w:lvlText w:val=""/>
      <w:lvlJc w:val="left"/>
      <w:pPr>
        <w:ind w:left="1440" w:hanging="360"/>
      </w:pPr>
      <w:rPr>
        <w:rFonts w:ascii="Symbol" w:hAnsi="Symbol" w:hint="default"/>
      </w:rPr>
    </w:lvl>
    <w:lvl w:ilvl="2" w:tplc="01187550">
      <w:start w:val="1"/>
      <w:numFmt w:val="bullet"/>
      <w:lvlText w:val=""/>
      <w:lvlJc w:val="left"/>
      <w:pPr>
        <w:ind w:left="2160" w:hanging="360"/>
      </w:pPr>
      <w:rPr>
        <w:rFonts w:ascii="Wingdings" w:hAnsi="Wingdings" w:hint="default"/>
      </w:rPr>
    </w:lvl>
    <w:lvl w:ilvl="3" w:tplc="F1165FFC">
      <w:start w:val="1"/>
      <w:numFmt w:val="bullet"/>
      <w:lvlText w:val=""/>
      <w:lvlJc w:val="left"/>
      <w:pPr>
        <w:ind w:left="2880" w:hanging="360"/>
      </w:pPr>
      <w:rPr>
        <w:rFonts w:ascii="Symbol" w:hAnsi="Symbol" w:hint="default"/>
      </w:rPr>
    </w:lvl>
    <w:lvl w:ilvl="4" w:tplc="9B72DAEA">
      <w:start w:val="1"/>
      <w:numFmt w:val="bullet"/>
      <w:lvlText w:val="o"/>
      <w:lvlJc w:val="left"/>
      <w:pPr>
        <w:ind w:left="3600" w:hanging="360"/>
      </w:pPr>
      <w:rPr>
        <w:rFonts w:ascii="Courier New" w:hAnsi="Courier New" w:hint="default"/>
      </w:rPr>
    </w:lvl>
    <w:lvl w:ilvl="5" w:tplc="DC1CD16A">
      <w:start w:val="1"/>
      <w:numFmt w:val="bullet"/>
      <w:lvlText w:val=""/>
      <w:lvlJc w:val="left"/>
      <w:pPr>
        <w:ind w:left="4320" w:hanging="360"/>
      </w:pPr>
      <w:rPr>
        <w:rFonts w:ascii="Wingdings" w:hAnsi="Wingdings" w:hint="default"/>
      </w:rPr>
    </w:lvl>
    <w:lvl w:ilvl="6" w:tplc="8ABCC78E">
      <w:start w:val="1"/>
      <w:numFmt w:val="bullet"/>
      <w:lvlText w:val=""/>
      <w:lvlJc w:val="left"/>
      <w:pPr>
        <w:ind w:left="5040" w:hanging="360"/>
      </w:pPr>
      <w:rPr>
        <w:rFonts w:ascii="Symbol" w:hAnsi="Symbol" w:hint="default"/>
      </w:rPr>
    </w:lvl>
    <w:lvl w:ilvl="7" w:tplc="0D1C5E1A">
      <w:start w:val="1"/>
      <w:numFmt w:val="bullet"/>
      <w:lvlText w:val="o"/>
      <w:lvlJc w:val="left"/>
      <w:pPr>
        <w:ind w:left="5760" w:hanging="360"/>
      </w:pPr>
      <w:rPr>
        <w:rFonts w:ascii="Courier New" w:hAnsi="Courier New" w:hint="default"/>
      </w:rPr>
    </w:lvl>
    <w:lvl w:ilvl="8" w:tplc="662C40EA">
      <w:start w:val="1"/>
      <w:numFmt w:val="bullet"/>
      <w:lvlText w:val=""/>
      <w:lvlJc w:val="left"/>
      <w:pPr>
        <w:ind w:left="6480" w:hanging="360"/>
      </w:pPr>
      <w:rPr>
        <w:rFonts w:ascii="Wingdings" w:hAnsi="Wingdings" w:hint="default"/>
      </w:rPr>
    </w:lvl>
  </w:abstractNum>
  <w:abstractNum w:abstractNumId="17" w15:restartNumberingAfterBreak="0">
    <w:nsid w:val="38455E0D"/>
    <w:multiLevelType w:val="hybridMultilevel"/>
    <w:tmpl w:val="D8EC8360"/>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18" w15:restartNumberingAfterBreak="0">
    <w:nsid w:val="3B166AA9"/>
    <w:multiLevelType w:val="hybridMultilevel"/>
    <w:tmpl w:val="51604224"/>
    <w:lvl w:ilvl="0" w:tplc="7BD87916">
      <w:start w:val="1"/>
      <w:numFmt w:val="bullet"/>
      <w:lvlText w:val="-"/>
      <w:lvlJc w:val="left"/>
      <w:pPr>
        <w:tabs>
          <w:tab w:val="num" w:pos="360"/>
        </w:tabs>
        <w:ind w:left="360" w:hanging="360"/>
      </w:pPr>
      <w:rPr>
        <w:rFonts w:ascii="Arial" w:hAnsi="Arial" w:hint="default"/>
      </w:rPr>
    </w:lvl>
    <w:lvl w:ilvl="1" w:tplc="AFE21206" w:tentative="1">
      <w:start w:val="1"/>
      <w:numFmt w:val="bullet"/>
      <w:lvlText w:val="-"/>
      <w:lvlJc w:val="left"/>
      <w:pPr>
        <w:tabs>
          <w:tab w:val="num" w:pos="1080"/>
        </w:tabs>
        <w:ind w:left="1080" w:hanging="360"/>
      </w:pPr>
      <w:rPr>
        <w:rFonts w:ascii="Arial" w:hAnsi="Arial" w:hint="default"/>
      </w:rPr>
    </w:lvl>
    <w:lvl w:ilvl="2" w:tplc="B59CD334" w:tentative="1">
      <w:start w:val="1"/>
      <w:numFmt w:val="bullet"/>
      <w:lvlText w:val="-"/>
      <w:lvlJc w:val="left"/>
      <w:pPr>
        <w:tabs>
          <w:tab w:val="num" w:pos="1800"/>
        </w:tabs>
        <w:ind w:left="1800" w:hanging="360"/>
      </w:pPr>
      <w:rPr>
        <w:rFonts w:ascii="Arial" w:hAnsi="Arial" w:hint="default"/>
      </w:rPr>
    </w:lvl>
    <w:lvl w:ilvl="3" w:tplc="15F4A25E" w:tentative="1">
      <w:start w:val="1"/>
      <w:numFmt w:val="bullet"/>
      <w:lvlText w:val="-"/>
      <w:lvlJc w:val="left"/>
      <w:pPr>
        <w:tabs>
          <w:tab w:val="num" w:pos="2520"/>
        </w:tabs>
        <w:ind w:left="2520" w:hanging="360"/>
      </w:pPr>
      <w:rPr>
        <w:rFonts w:ascii="Arial" w:hAnsi="Arial" w:hint="default"/>
      </w:rPr>
    </w:lvl>
    <w:lvl w:ilvl="4" w:tplc="58E00AAA" w:tentative="1">
      <w:start w:val="1"/>
      <w:numFmt w:val="bullet"/>
      <w:lvlText w:val="-"/>
      <w:lvlJc w:val="left"/>
      <w:pPr>
        <w:tabs>
          <w:tab w:val="num" w:pos="3240"/>
        </w:tabs>
        <w:ind w:left="3240" w:hanging="360"/>
      </w:pPr>
      <w:rPr>
        <w:rFonts w:ascii="Arial" w:hAnsi="Arial" w:hint="default"/>
      </w:rPr>
    </w:lvl>
    <w:lvl w:ilvl="5" w:tplc="9C68CAE0" w:tentative="1">
      <w:start w:val="1"/>
      <w:numFmt w:val="bullet"/>
      <w:lvlText w:val="-"/>
      <w:lvlJc w:val="left"/>
      <w:pPr>
        <w:tabs>
          <w:tab w:val="num" w:pos="3960"/>
        </w:tabs>
        <w:ind w:left="3960" w:hanging="360"/>
      </w:pPr>
      <w:rPr>
        <w:rFonts w:ascii="Arial" w:hAnsi="Arial" w:hint="default"/>
      </w:rPr>
    </w:lvl>
    <w:lvl w:ilvl="6" w:tplc="A044FF0A" w:tentative="1">
      <w:start w:val="1"/>
      <w:numFmt w:val="bullet"/>
      <w:lvlText w:val="-"/>
      <w:lvlJc w:val="left"/>
      <w:pPr>
        <w:tabs>
          <w:tab w:val="num" w:pos="4680"/>
        </w:tabs>
        <w:ind w:left="4680" w:hanging="360"/>
      </w:pPr>
      <w:rPr>
        <w:rFonts w:ascii="Arial" w:hAnsi="Arial" w:hint="default"/>
      </w:rPr>
    </w:lvl>
    <w:lvl w:ilvl="7" w:tplc="B0E6F8AE" w:tentative="1">
      <w:start w:val="1"/>
      <w:numFmt w:val="bullet"/>
      <w:lvlText w:val="-"/>
      <w:lvlJc w:val="left"/>
      <w:pPr>
        <w:tabs>
          <w:tab w:val="num" w:pos="5400"/>
        </w:tabs>
        <w:ind w:left="5400" w:hanging="360"/>
      </w:pPr>
      <w:rPr>
        <w:rFonts w:ascii="Arial" w:hAnsi="Arial" w:hint="default"/>
      </w:rPr>
    </w:lvl>
    <w:lvl w:ilvl="8" w:tplc="D12E8FF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B781ACD"/>
    <w:multiLevelType w:val="hybridMultilevel"/>
    <w:tmpl w:val="E69439D6"/>
    <w:lvl w:ilvl="0" w:tplc="350EBE9A">
      <w:start w:val="1"/>
      <w:numFmt w:val="bullet"/>
      <w:lvlText w:val=""/>
      <w:lvlJc w:val="left"/>
      <w:pPr>
        <w:tabs>
          <w:tab w:val="num" w:pos="720"/>
        </w:tabs>
        <w:ind w:left="720" w:hanging="360"/>
      </w:pPr>
      <w:rPr>
        <w:rFonts w:ascii="Wingdings 3" w:hAnsi="Wingdings 3" w:hint="default"/>
      </w:rPr>
    </w:lvl>
    <w:lvl w:ilvl="1" w:tplc="9F3EA8BE">
      <w:start w:val="23"/>
      <w:numFmt w:val="bullet"/>
      <w:lvlText w:val=""/>
      <w:lvlJc w:val="left"/>
      <w:pPr>
        <w:tabs>
          <w:tab w:val="num" w:pos="1440"/>
        </w:tabs>
        <w:ind w:left="1440" w:hanging="360"/>
      </w:pPr>
      <w:rPr>
        <w:rFonts w:ascii="Wingdings 3" w:hAnsi="Wingdings 3" w:hint="default"/>
      </w:rPr>
    </w:lvl>
    <w:lvl w:ilvl="2" w:tplc="EACC2B7E" w:tentative="1">
      <w:start w:val="1"/>
      <w:numFmt w:val="bullet"/>
      <w:lvlText w:val=""/>
      <w:lvlJc w:val="left"/>
      <w:pPr>
        <w:tabs>
          <w:tab w:val="num" w:pos="2160"/>
        </w:tabs>
        <w:ind w:left="2160" w:hanging="360"/>
      </w:pPr>
      <w:rPr>
        <w:rFonts w:ascii="Wingdings 3" w:hAnsi="Wingdings 3" w:hint="default"/>
      </w:rPr>
    </w:lvl>
    <w:lvl w:ilvl="3" w:tplc="C58E7386" w:tentative="1">
      <w:start w:val="1"/>
      <w:numFmt w:val="bullet"/>
      <w:lvlText w:val=""/>
      <w:lvlJc w:val="left"/>
      <w:pPr>
        <w:tabs>
          <w:tab w:val="num" w:pos="2880"/>
        </w:tabs>
        <w:ind w:left="2880" w:hanging="360"/>
      </w:pPr>
      <w:rPr>
        <w:rFonts w:ascii="Wingdings 3" w:hAnsi="Wingdings 3" w:hint="default"/>
      </w:rPr>
    </w:lvl>
    <w:lvl w:ilvl="4" w:tplc="6DC8010A" w:tentative="1">
      <w:start w:val="1"/>
      <w:numFmt w:val="bullet"/>
      <w:lvlText w:val=""/>
      <w:lvlJc w:val="left"/>
      <w:pPr>
        <w:tabs>
          <w:tab w:val="num" w:pos="3600"/>
        </w:tabs>
        <w:ind w:left="3600" w:hanging="360"/>
      </w:pPr>
      <w:rPr>
        <w:rFonts w:ascii="Wingdings 3" w:hAnsi="Wingdings 3" w:hint="default"/>
      </w:rPr>
    </w:lvl>
    <w:lvl w:ilvl="5" w:tplc="4C886870" w:tentative="1">
      <w:start w:val="1"/>
      <w:numFmt w:val="bullet"/>
      <w:lvlText w:val=""/>
      <w:lvlJc w:val="left"/>
      <w:pPr>
        <w:tabs>
          <w:tab w:val="num" w:pos="4320"/>
        </w:tabs>
        <w:ind w:left="4320" w:hanging="360"/>
      </w:pPr>
      <w:rPr>
        <w:rFonts w:ascii="Wingdings 3" w:hAnsi="Wingdings 3" w:hint="default"/>
      </w:rPr>
    </w:lvl>
    <w:lvl w:ilvl="6" w:tplc="142E7F4E" w:tentative="1">
      <w:start w:val="1"/>
      <w:numFmt w:val="bullet"/>
      <w:lvlText w:val=""/>
      <w:lvlJc w:val="left"/>
      <w:pPr>
        <w:tabs>
          <w:tab w:val="num" w:pos="5040"/>
        </w:tabs>
        <w:ind w:left="5040" w:hanging="360"/>
      </w:pPr>
      <w:rPr>
        <w:rFonts w:ascii="Wingdings 3" w:hAnsi="Wingdings 3" w:hint="default"/>
      </w:rPr>
    </w:lvl>
    <w:lvl w:ilvl="7" w:tplc="41CEF480" w:tentative="1">
      <w:start w:val="1"/>
      <w:numFmt w:val="bullet"/>
      <w:lvlText w:val=""/>
      <w:lvlJc w:val="left"/>
      <w:pPr>
        <w:tabs>
          <w:tab w:val="num" w:pos="5760"/>
        </w:tabs>
        <w:ind w:left="5760" w:hanging="360"/>
      </w:pPr>
      <w:rPr>
        <w:rFonts w:ascii="Wingdings 3" w:hAnsi="Wingdings 3" w:hint="default"/>
      </w:rPr>
    </w:lvl>
    <w:lvl w:ilvl="8" w:tplc="9832617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C2063BA"/>
    <w:multiLevelType w:val="hybridMultilevel"/>
    <w:tmpl w:val="D5D4D532"/>
    <w:lvl w:ilvl="0" w:tplc="C5EC64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F7486"/>
    <w:multiLevelType w:val="hybridMultilevel"/>
    <w:tmpl w:val="ED6C0BD8"/>
    <w:lvl w:ilvl="0" w:tplc="6E426736">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BD3B76"/>
    <w:multiLevelType w:val="hybridMultilevel"/>
    <w:tmpl w:val="CFEC083E"/>
    <w:lvl w:ilvl="0" w:tplc="7BD87916">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FEB2FBD"/>
    <w:multiLevelType w:val="hybridMultilevel"/>
    <w:tmpl w:val="32A07124"/>
    <w:lvl w:ilvl="0" w:tplc="6E426736">
      <w:numFmt w:val="bullet"/>
      <w:lvlText w:val="-"/>
      <w:lvlJc w:val="left"/>
      <w:pPr>
        <w:tabs>
          <w:tab w:val="num" w:pos="720"/>
        </w:tabs>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7E058A"/>
    <w:multiLevelType w:val="hybridMultilevel"/>
    <w:tmpl w:val="7CF2B5FC"/>
    <w:lvl w:ilvl="0" w:tplc="6E426736">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DC3AF5"/>
    <w:multiLevelType w:val="hybridMultilevel"/>
    <w:tmpl w:val="0068E656"/>
    <w:lvl w:ilvl="0" w:tplc="7BD87916">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FE7361"/>
    <w:multiLevelType w:val="hybridMultilevel"/>
    <w:tmpl w:val="5B344FCA"/>
    <w:lvl w:ilvl="0" w:tplc="75F0104E">
      <w:start w:val="1"/>
      <w:numFmt w:val="bullet"/>
      <w:lvlText w:val="•"/>
      <w:lvlJc w:val="left"/>
      <w:pPr>
        <w:tabs>
          <w:tab w:val="num" w:pos="720"/>
        </w:tabs>
        <w:ind w:left="720" w:hanging="360"/>
      </w:pPr>
      <w:rPr>
        <w:rFonts w:ascii="Arial" w:hAnsi="Arial" w:hint="default"/>
      </w:rPr>
    </w:lvl>
    <w:lvl w:ilvl="1" w:tplc="F616472E" w:tentative="1">
      <w:start w:val="1"/>
      <w:numFmt w:val="bullet"/>
      <w:lvlText w:val="•"/>
      <w:lvlJc w:val="left"/>
      <w:pPr>
        <w:tabs>
          <w:tab w:val="num" w:pos="1440"/>
        </w:tabs>
        <w:ind w:left="1440" w:hanging="360"/>
      </w:pPr>
      <w:rPr>
        <w:rFonts w:ascii="Arial" w:hAnsi="Arial" w:hint="default"/>
      </w:rPr>
    </w:lvl>
    <w:lvl w:ilvl="2" w:tplc="1E32ED9E" w:tentative="1">
      <w:start w:val="1"/>
      <w:numFmt w:val="bullet"/>
      <w:lvlText w:val="•"/>
      <w:lvlJc w:val="left"/>
      <w:pPr>
        <w:tabs>
          <w:tab w:val="num" w:pos="2160"/>
        </w:tabs>
        <w:ind w:left="2160" w:hanging="360"/>
      </w:pPr>
      <w:rPr>
        <w:rFonts w:ascii="Arial" w:hAnsi="Arial" w:hint="default"/>
      </w:rPr>
    </w:lvl>
    <w:lvl w:ilvl="3" w:tplc="47A61386" w:tentative="1">
      <w:start w:val="1"/>
      <w:numFmt w:val="bullet"/>
      <w:lvlText w:val="•"/>
      <w:lvlJc w:val="left"/>
      <w:pPr>
        <w:tabs>
          <w:tab w:val="num" w:pos="2880"/>
        </w:tabs>
        <w:ind w:left="2880" w:hanging="360"/>
      </w:pPr>
      <w:rPr>
        <w:rFonts w:ascii="Arial" w:hAnsi="Arial" w:hint="default"/>
      </w:rPr>
    </w:lvl>
    <w:lvl w:ilvl="4" w:tplc="62A02A6E" w:tentative="1">
      <w:start w:val="1"/>
      <w:numFmt w:val="bullet"/>
      <w:lvlText w:val="•"/>
      <w:lvlJc w:val="left"/>
      <w:pPr>
        <w:tabs>
          <w:tab w:val="num" w:pos="3600"/>
        </w:tabs>
        <w:ind w:left="3600" w:hanging="360"/>
      </w:pPr>
      <w:rPr>
        <w:rFonts w:ascii="Arial" w:hAnsi="Arial" w:hint="default"/>
      </w:rPr>
    </w:lvl>
    <w:lvl w:ilvl="5" w:tplc="4C5CBF98" w:tentative="1">
      <w:start w:val="1"/>
      <w:numFmt w:val="bullet"/>
      <w:lvlText w:val="•"/>
      <w:lvlJc w:val="left"/>
      <w:pPr>
        <w:tabs>
          <w:tab w:val="num" w:pos="4320"/>
        </w:tabs>
        <w:ind w:left="4320" w:hanging="360"/>
      </w:pPr>
      <w:rPr>
        <w:rFonts w:ascii="Arial" w:hAnsi="Arial" w:hint="default"/>
      </w:rPr>
    </w:lvl>
    <w:lvl w:ilvl="6" w:tplc="AB4ADF82" w:tentative="1">
      <w:start w:val="1"/>
      <w:numFmt w:val="bullet"/>
      <w:lvlText w:val="•"/>
      <w:lvlJc w:val="left"/>
      <w:pPr>
        <w:tabs>
          <w:tab w:val="num" w:pos="5040"/>
        </w:tabs>
        <w:ind w:left="5040" w:hanging="360"/>
      </w:pPr>
      <w:rPr>
        <w:rFonts w:ascii="Arial" w:hAnsi="Arial" w:hint="default"/>
      </w:rPr>
    </w:lvl>
    <w:lvl w:ilvl="7" w:tplc="267A994E" w:tentative="1">
      <w:start w:val="1"/>
      <w:numFmt w:val="bullet"/>
      <w:lvlText w:val="•"/>
      <w:lvlJc w:val="left"/>
      <w:pPr>
        <w:tabs>
          <w:tab w:val="num" w:pos="5760"/>
        </w:tabs>
        <w:ind w:left="5760" w:hanging="360"/>
      </w:pPr>
      <w:rPr>
        <w:rFonts w:ascii="Arial" w:hAnsi="Arial" w:hint="default"/>
      </w:rPr>
    </w:lvl>
    <w:lvl w:ilvl="8" w:tplc="DA9E5E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6E0A7E"/>
    <w:multiLevelType w:val="hybridMultilevel"/>
    <w:tmpl w:val="79040418"/>
    <w:lvl w:ilvl="0" w:tplc="6E426736">
      <w:numFmt w:val="bullet"/>
      <w:lvlText w:val="-"/>
      <w:lvlJc w:val="left"/>
      <w:pPr>
        <w:tabs>
          <w:tab w:val="num" w:pos="720"/>
        </w:tabs>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505B1B"/>
    <w:multiLevelType w:val="multilevel"/>
    <w:tmpl w:val="D2440B00"/>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534271"/>
    <w:multiLevelType w:val="hybridMultilevel"/>
    <w:tmpl w:val="5BAC61E0"/>
    <w:lvl w:ilvl="0" w:tplc="6E426736">
      <w:numFmt w:val="bullet"/>
      <w:lvlText w:val="-"/>
      <w:lvlJc w:val="left"/>
      <w:pPr>
        <w:tabs>
          <w:tab w:val="num" w:pos="720"/>
        </w:tabs>
        <w:ind w:left="720" w:hanging="360"/>
      </w:pPr>
      <w:rPr>
        <w:rFonts w:ascii="Calibri" w:eastAsia="Times New Roman" w:hAnsi="Calibri" w:cs="Arial" w:hint="default"/>
      </w:rPr>
    </w:lvl>
    <w:lvl w:ilvl="1" w:tplc="A128282E" w:tentative="1">
      <w:start w:val="1"/>
      <w:numFmt w:val="bullet"/>
      <w:lvlText w:val=""/>
      <w:lvlJc w:val="left"/>
      <w:pPr>
        <w:tabs>
          <w:tab w:val="num" w:pos="1440"/>
        </w:tabs>
        <w:ind w:left="1440" w:hanging="360"/>
      </w:pPr>
      <w:rPr>
        <w:rFonts w:ascii="Wingdings 3" w:hAnsi="Wingdings 3" w:hint="default"/>
      </w:rPr>
    </w:lvl>
    <w:lvl w:ilvl="2" w:tplc="BDB078FC" w:tentative="1">
      <w:start w:val="1"/>
      <w:numFmt w:val="bullet"/>
      <w:lvlText w:val=""/>
      <w:lvlJc w:val="left"/>
      <w:pPr>
        <w:tabs>
          <w:tab w:val="num" w:pos="2160"/>
        </w:tabs>
        <w:ind w:left="2160" w:hanging="360"/>
      </w:pPr>
      <w:rPr>
        <w:rFonts w:ascii="Wingdings 3" w:hAnsi="Wingdings 3" w:hint="default"/>
      </w:rPr>
    </w:lvl>
    <w:lvl w:ilvl="3" w:tplc="B8CE285E" w:tentative="1">
      <w:start w:val="1"/>
      <w:numFmt w:val="bullet"/>
      <w:lvlText w:val=""/>
      <w:lvlJc w:val="left"/>
      <w:pPr>
        <w:tabs>
          <w:tab w:val="num" w:pos="2880"/>
        </w:tabs>
        <w:ind w:left="2880" w:hanging="360"/>
      </w:pPr>
      <w:rPr>
        <w:rFonts w:ascii="Wingdings 3" w:hAnsi="Wingdings 3" w:hint="default"/>
      </w:rPr>
    </w:lvl>
    <w:lvl w:ilvl="4" w:tplc="1E14592C" w:tentative="1">
      <w:start w:val="1"/>
      <w:numFmt w:val="bullet"/>
      <w:lvlText w:val=""/>
      <w:lvlJc w:val="left"/>
      <w:pPr>
        <w:tabs>
          <w:tab w:val="num" w:pos="3600"/>
        </w:tabs>
        <w:ind w:left="3600" w:hanging="360"/>
      </w:pPr>
      <w:rPr>
        <w:rFonts w:ascii="Wingdings 3" w:hAnsi="Wingdings 3" w:hint="default"/>
      </w:rPr>
    </w:lvl>
    <w:lvl w:ilvl="5" w:tplc="5826452E" w:tentative="1">
      <w:start w:val="1"/>
      <w:numFmt w:val="bullet"/>
      <w:lvlText w:val=""/>
      <w:lvlJc w:val="left"/>
      <w:pPr>
        <w:tabs>
          <w:tab w:val="num" w:pos="4320"/>
        </w:tabs>
        <w:ind w:left="4320" w:hanging="360"/>
      </w:pPr>
      <w:rPr>
        <w:rFonts w:ascii="Wingdings 3" w:hAnsi="Wingdings 3" w:hint="default"/>
      </w:rPr>
    </w:lvl>
    <w:lvl w:ilvl="6" w:tplc="8BA84BF6" w:tentative="1">
      <w:start w:val="1"/>
      <w:numFmt w:val="bullet"/>
      <w:lvlText w:val=""/>
      <w:lvlJc w:val="left"/>
      <w:pPr>
        <w:tabs>
          <w:tab w:val="num" w:pos="5040"/>
        </w:tabs>
        <w:ind w:left="5040" w:hanging="360"/>
      </w:pPr>
      <w:rPr>
        <w:rFonts w:ascii="Wingdings 3" w:hAnsi="Wingdings 3" w:hint="default"/>
      </w:rPr>
    </w:lvl>
    <w:lvl w:ilvl="7" w:tplc="6D10560E" w:tentative="1">
      <w:start w:val="1"/>
      <w:numFmt w:val="bullet"/>
      <w:lvlText w:val=""/>
      <w:lvlJc w:val="left"/>
      <w:pPr>
        <w:tabs>
          <w:tab w:val="num" w:pos="5760"/>
        </w:tabs>
        <w:ind w:left="5760" w:hanging="360"/>
      </w:pPr>
      <w:rPr>
        <w:rFonts w:ascii="Wingdings 3" w:hAnsi="Wingdings 3" w:hint="default"/>
      </w:rPr>
    </w:lvl>
    <w:lvl w:ilvl="8" w:tplc="D6622D56"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6B6958CB"/>
    <w:multiLevelType w:val="hybridMultilevel"/>
    <w:tmpl w:val="5282A678"/>
    <w:lvl w:ilvl="0" w:tplc="9F7022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FE31E7"/>
    <w:multiLevelType w:val="hybridMultilevel"/>
    <w:tmpl w:val="1D4673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DA11891"/>
    <w:multiLevelType w:val="hybridMultilevel"/>
    <w:tmpl w:val="684E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297095"/>
    <w:multiLevelType w:val="hybridMultilevel"/>
    <w:tmpl w:val="7BFE4820"/>
    <w:lvl w:ilvl="0" w:tplc="C67AD5A4">
      <w:start w:val="2015"/>
      <w:numFmt w:val="bullet"/>
      <w:lvlText w:val="-"/>
      <w:lvlJc w:val="left"/>
      <w:pPr>
        <w:ind w:left="720" w:hanging="360"/>
      </w:pPr>
      <w:rPr>
        <w:rFonts w:ascii="Arial" w:eastAsia="SimSu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880E86"/>
    <w:multiLevelType w:val="hybridMultilevel"/>
    <w:tmpl w:val="9550A662"/>
    <w:lvl w:ilvl="0" w:tplc="7BD87916">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524DCC"/>
    <w:multiLevelType w:val="multilevel"/>
    <w:tmpl w:val="872E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95C83"/>
    <w:multiLevelType w:val="hybridMultilevel"/>
    <w:tmpl w:val="A3988742"/>
    <w:lvl w:ilvl="0" w:tplc="57BE919C">
      <w:start w:val="1"/>
      <w:numFmt w:val="bullet"/>
      <w:lvlText w:val=""/>
      <w:lvlJc w:val="left"/>
      <w:pPr>
        <w:ind w:left="720" w:hanging="360"/>
      </w:pPr>
      <w:rPr>
        <w:rFonts w:ascii="Symbol" w:hAnsi="Symbol" w:hint="default"/>
      </w:rPr>
    </w:lvl>
    <w:lvl w:ilvl="1" w:tplc="77904F7E">
      <w:start w:val="1"/>
      <w:numFmt w:val="bullet"/>
      <w:lvlText w:val=""/>
      <w:lvlJc w:val="left"/>
      <w:pPr>
        <w:ind w:left="1440" w:hanging="360"/>
      </w:pPr>
      <w:rPr>
        <w:rFonts w:ascii="Symbol" w:hAnsi="Symbol" w:hint="default"/>
      </w:rPr>
    </w:lvl>
    <w:lvl w:ilvl="2" w:tplc="0A0CC560">
      <w:start w:val="1"/>
      <w:numFmt w:val="bullet"/>
      <w:lvlText w:val=""/>
      <w:lvlJc w:val="left"/>
      <w:pPr>
        <w:ind w:left="2160" w:hanging="360"/>
      </w:pPr>
      <w:rPr>
        <w:rFonts w:ascii="Wingdings" w:hAnsi="Wingdings" w:hint="default"/>
      </w:rPr>
    </w:lvl>
    <w:lvl w:ilvl="3" w:tplc="AE4047EE">
      <w:start w:val="1"/>
      <w:numFmt w:val="bullet"/>
      <w:lvlText w:val=""/>
      <w:lvlJc w:val="left"/>
      <w:pPr>
        <w:ind w:left="2880" w:hanging="360"/>
      </w:pPr>
      <w:rPr>
        <w:rFonts w:ascii="Symbol" w:hAnsi="Symbol" w:hint="default"/>
      </w:rPr>
    </w:lvl>
    <w:lvl w:ilvl="4" w:tplc="0AF48024">
      <w:start w:val="1"/>
      <w:numFmt w:val="bullet"/>
      <w:lvlText w:val="o"/>
      <w:lvlJc w:val="left"/>
      <w:pPr>
        <w:ind w:left="3600" w:hanging="360"/>
      </w:pPr>
      <w:rPr>
        <w:rFonts w:ascii="Courier New" w:hAnsi="Courier New" w:hint="default"/>
      </w:rPr>
    </w:lvl>
    <w:lvl w:ilvl="5" w:tplc="89285274">
      <w:start w:val="1"/>
      <w:numFmt w:val="bullet"/>
      <w:lvlText w:val=""/>
      <w:lvlJc w:val="left"/>
      <w:pPr>
        <w:ind w:left="4320" w:hanging="360"/>
      </w:pPr>
      <w:rPr>
        <w:rFonts w:ascii="Wingdings" w:hAnsi="Wingdings" w:hint="default"/>
      </w:rPr>
    </w:lvl>
    <w:lvl w:ilvl="6" w:tplc="C454824E">
      <w:start w:val="1"/>
      <w:numFmt w:val="bullet"/>
      <w:lvlText w:val=""/>
      <w:lvlJc w:val="left"/>
      <w:pPr>
        <w:ind w:left="5040" w:hanging="360"/>
      </w:pPr>
      <w:rPr>
        <w:rFonts w:ascii="Symbol" w:hAnsi="Symbol" w:hint="default"/>
      </w:rPr>
    </w:lvl>
    <w:lvl w:ilvl="7" w:tplc="72D853DC">
      <w:start w:val="1"/>
      <w:numFmt w:val="bullet"/>
      <w:lvlText w:val="o"/>
      <w:lvlJc w:val="left"/>
      <w:pPr>
        <w:ind w:left="5760" w:hanging="360"/>
      </w:pPr>
      <w:rPr>
        <w:rFonts w:ascii="Courier New" w:hAnsi="Courier New" w:hint="default"/>
      </w:rPr>
    </w:lvl>
    <w:lvl w:ilvl="8" w:tplc="99BAF77E">
      <w:start w:val="1"/>
      <w:numFmt w:val="bullet"/>
      <w:lvlText w:val=""/>
      <w:lvlJc w:val="left"/>
      <w:pPr>
        <w:ind w:left="6480" w:hanging="360"/>
      </w:pPr>
      <w:rPr>
        <w:rFonts w:ascii="Wingdings" w:hAnsi="Wingdings" w:hint="default"/>
      </w:rPr>
    </w:lvl>
  </w:abstractNum>
  <w:abstractNum w:abstractNumId="37" w15:restartNumberingAfterBreak="0">
    <w:nsid w:val="7F4E38B2"/>
    <w:multiLevelType w:val="multilevel"/>
    <w:tmpl w:val="7F2EACA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1388139104">
    <w:abstractNumId w:val="11"/>
  </w:num>
  <w:num w:numId="2" w16cid:durableId="210459235">
    <w:abstractNumId w:val="0"/>
  </w:num>
  <w:num w:numId="3" w16cid:durableId="1231961237">
    <w:abstractNumId w:val="36"/>
  </w:num>
  <w:num w:numId="4" w16cid:durableId="898125620">
    <w:abstractNumId w:val="7"/>
  </w:num>
  <w:num w:numId="5" w16cid:durableId="438524877">
    <w:abstractNumId w:val="16"/>
  </w:num>
  <w:num w:numId="6" w16cid:durableId="2144300736">
    <w:abstractNumId w:val="28"/>
  </w:num>
  <w:num w:numId="7" w16cid:durableId="196089590">
    <w:abstractNumId w:val="5"/>
  </w:num>
  <w:num w:numId="8" w16cid:durableId="869999744">
    <w:abstractNumId w:val="9"/>
  </w:num>
  <w:num w:numId="9" w16cid:durableId="1307320905">
    <w:abstractNumId w:val="1"/>
  </w:num>
  <w:num w:numId="10" w16cid:durableId="764109486">
    <w:abstractNumId w:val="18"/>
  </w:num>
  <w:num w:numId="11" w16cid:durableId="1614362032">
    <w:abstractNumId w:val="26"/>
  </w:num>
  <w:num w:numId="12" w16cid:durableId="433793497">
    <w:abstractNumId w:val="3"/>
  </w:num>
  <w:num w:numId="13" w16cid:durableId="1515653956">
    <w:abstractNumId w:val="14"/>
  </w:num>
  <w:num w:numId="14" w16cid:durableId="919406449">
    <w:abstractNumId w:val="37"/>
  </w:num>
  <w:num w:numId="15" w16cid:durableId="1372222835">
    <w:abstractNumId w:val="24"/>
  </w:num>
  <w:num w:numId="16" w16cid:durableId="373231995">
    <w:abstractNumId w:val="21"/>
  </w:num>
  <w:num w:numId="17" w16cid:durableId="1899245381">
    <w:abstractNumId w:val="29"/>
  </w:num>
  <w:num w:numId="18" w16cid:durableId="1876969012">
    <w:abstractNumId w:val="4"/>
  </w:num>
  <w:num w:numId="19" w16cid:durableId="1880629250">
    <w:abstractNumId w:val="8"/>
  </w:num>
  <w:num w:numId="20" w16cid:durableId="911351569">
    <w:abstractNumId w:val="10"/>
  </w:num>
  <w:num w:numId="21" w16cid:durableId="1050424935">
    <w:abstractNumId w:val="12"/>
  </w:num>
  <w:num w:numId="22" w16cid:durableId="2135129468">
    <w:abstractNumId w:val="30"/>
  </w:num>
  <w:num w:numId="23" w16cid:durableId="223492503">
    <w:abstractNumId w:val="23"/>
  </w:num>
  <w:num w:numId="24" w16cid:durableId="678509142">
    <w:abstractNumId w:val="34"/>
  </w:num>
  <w:num w:numId="25" w16cid:durableId="1247882265">
    <w:abstractNumId w:val="6"/>
  </w:num>
  <w:num w:numId="26" w16cid:durableId="618532103">
    <w:abstractNumId w:val="33"/>
  </w:num>
  <w:num w:numId="27" w16cid:durableId="1834951200">
    <w:abstractNumId w:val="15"/>
  </w:num>
  <w:num w:numId="28" w16cid:durableId="1433933102">
    <w:abstractNumId w:val="27"/>
  </w:num>
  <w:num w:numId="29" w16cid:durableId="111634204">
    <w:abstractNumId w:val="20"/>
  </w:num>
  <w:num w:numId="30" w16cid:durableId="2107193838">
    <w:abstractNumId w:val="2"/>
  </w:num>
  <w:num w:numId="31" w16cid:durableId="796415217">
    <w:abstractNumId w:val="31"/>
  </w:num>
  <w:num w:numId="32" w16cid:durableId="61177640">
    <w:abstractNumId w:val="17"/>
  </w:num>
  <w:num w:numId="33" w16cid:durableId="213931954">
    <w:abstractNumId w:val="22"/>
  </w:num>
  <w:num w:numId="34" w16cid:durableId="1021123725">
    <w:abstractNumId w:val="25"/>
  </w:num>
  <w:num w:numId="35" w16cid:durableId="1997764625">
    <w:abstractNumId w:val="13"/>
  </w:num>
  <w:num w:numId="36" w16cid:durableId="1393504677">
    <w:abstractNumId w:val="32"/>
  </w:num>
  <w:num w:numId="37" w16cid:durableId="446119790">
    <w:abstractNumId w:val="35"/>
  </w:num>
  <w:num w:numId="38" w16cid:durableId="13575844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02"/>
    <w:rsid w:val="000062CF"/>
    <w:rsid w:val="0002529E"/>
    <w:rsid w:val="00032A38"/>
    <w:rsid w:val="00043A30"/>
    <w:rsid w:val="00072492"/>
    <w:rsid w:val="00090D27"/>
    <w:rsid w:val="00094532"/>
    <w:rsid w:val="00097784"/>
    <w:rsid w:val="000B36C5"/>
    <w:rsid w:val="000C24A1"/>
    <w:rsid w:val="000C3169"/>
    <w:rsid w:val="000D4F07"/>
    <w:rsid w:val="000D67E7"/>
    <w:rsid w:val="000E43D2"/>
    <w:rsid w:val="000E5780"/>
    <w:rsid w:val="000F4DC9"/>
    <w:rsid w:val="001113E4"/>
    <w:rsid w:val="00122F3E"/>
    <w:rsid w:val="0012302B"/>
    <w:rsid w:val="00125ABB"/>
    <w:rsid w:val="00145DB6"/>
    <w:rsid w:val="00153212"/>
    <w:rsid w:val="00153728"/>
    <w:rsid w:val="001553A6"/>
    <w:rsid w:val="00170A94"/>
    <w:rsid w:val="00176384"/>
    <w:rsid w:val="00177382"/>
    <w:rsid w:val="001A60CD"/>
    <w:rsid w:val="001A74C3"/>
    <w:rsid w:val="001C5F78"/>
    <w:rsid w:val="001D1BC5"/>
    <w:rsid w:val="001D2402"/>
    <w:rsid w:val="001E796D"/>
    <w:rsid w:val="00216421"/>
    <w:rsid w:val="00223B0F"/>
    <w:rsid w:val="00224413"/>
    <w:rsid w:val="00242770"/>
    <w:rsid w:val="00251714"/>
    <w:rsid w:val="00257C23"/>
    <w:rsid w:val="002773AC"/>
    <w:rsid w:val="00292A26"/>
    <w:rsid w:val="002A1C90"/>
    <w:rsid w:val="002E1514"/>
    <w:rsid w:val="003112DA"/>
    <w:rsid w:val="00316419"/>
    <w:rsid w:val="003210A2"/>
    <w:rsid w:val="0032229E"/>
    <w:rsid w:val="00326261"/>
    <w:rsid w:val="00341AF4"/>
    <w:rsid w:val="003475FB"/>
    <w:rsid w:val="003510B6"/>
    <w:rsid w:val="00391E18"/>
    <w:rsid w:val="003920AD"/>
    <w:rsid w:val="003A23FB"/>
    <w:rsid w:val="003B0ED3"/>
    <w:rsid w:val="003B334F"/>
    <w:rsid w:val="003B5C59"/>
    <w:rsid w:val="003B7E04"/>
    <w:rsid w:val="003C5BAF"/>
    <w:rsid w:val="003D696C"/>
    <w:rsid w:val="00406DF3"/>
    <w:rsid w:val="00407D1F"/>
    <w:rsid w:val="00420D3C"/>
    <w:rsid w:val="00423284"/>
    <w:rsid w:val="00424A45"/>
    <w:rsid w:val="004409E8"/>
    <w:rsid w:val="004477A8"/>
    <w:rsid w:val="004604CA"/>
    <w:rsid w:val="004700B5"/>
    <w:rsid w:val="00477E3B"/>
    <w:rsid w:val="004827A1"/>
    <w:rsid w:val="004A07F0"/>
    <w:rsid w:val="004A4F1E"/>
    <w:rsid w:val="004A50CA"/>
    <w:rsid w:val="004B6C33"/>
    <w:rsid w:val="004D4B2F"/>
    <w:rsid w:val="004F4EB4"/>
    <w:rsid w:val="004F7CD4"/>
    <w:rsid w:val="0051006B"/>
    <w:rsid w:val="00532E12"/>
    <w:rsid w:val="00547858"/>
    <w:rsid w:val="00560607"/>
    <w:rsid w:val="005618FA"/>
    <w:rsid w:val="00587C97"/>
    <w:rsid w:val="005916AD"/>
    <w:rsid w:val="00592335"/>
    <w:rsid w:val="00592391"/>
    <w:rsid w:val="00595D69"/>
    <w:rsid w:val="00597310"/>
    <w:rsid w:val="005A1F1E"/>
    <w:rsid w:val="005B597C"/>
    <w:rsid w:val="005C3640"/>
    <w:rsid w:val="005D3011"/>
    <w:rsid w:val="00604606"/>
    <w:rsid w:val="00606142"/>
    <w:rsid w:val="00610B43"/>
    <w:rsid w:val="0062254B"/>
    <w:rsid w:val="0064596A"/>
    <w:rsid w:val="00646D5F"/>
    <w:rsid w:val="00655BCC"/>
    <w:rsid w:val="006565FC"/>
    <w:rsid w:val="00657924"/>
    <w:rsid w:val="00667842"/>
    <w:rsid w:val="00676C0C"/>
    <w:rsid w:val="0069662F"/>
    <w:rsid w:val="006A2D46"/>
    <w:rsid w:val="006B189A"/>
    <w:rsid w:val="006D0341"/>
    <w:rsid w:val="006D3E60"/>
    <w:rsid w:val="006D7F9A"/>
    <w:rsid w:val="006E317C"/>
    <w:rsid w:val="00710CC8"/>
    <w:rsid w:val="0071115D"/>
    <w:rsid w:val="00715514"/>
    <w:rsid w:val="00715691"/>
    <w:rsid w:val="00717635"/>
    <w:rsid w:val="007253AE"/>
    <w:rsid w:val="00731027"/>
    <w:rsid w:val="00732E88"/>
    <w:rsid w:val="007509B3"/>
    <w:rsid w:val="00756E3E"/>
    <w:rsid w:val="00764116"/>
    <w:rsid w:val="00774969"/>
    <w:rsid w:val="00784A0D"/>
    <w:rsid w:val="007A52FB"/>
    <w:rsid w:val="007A6BE4"/>
    <w:rsid w:val="007B0C54"/>
    <w:rsid w:val="007B55C7"/>
    <w:rsid w:val="007C4DE4"/>
    <w:rsid w:val="007F30E9"/>
    <w:rsid w:val="007F5A99"/>
    <w:rsid w:val="008011C0"/>
    <w:rsid w:val="008224E9"/>
    <w:rsid w:val="008232FF"/>
    <w:rsid w:val="0082489A"/>
    <w:rsid w:val="00845249"/>
    <w:rsid w:val="008660C5"/>
    <w:rsid w:val="00887DB2"/>
    <w:rsid w:val="008B279F"/>
    <w:rsid w:val="008C2B61"/>
    <w:rsid w:val="008D1FB1"/>
    <w:rsid w:val="008D30FE"/>
    <w:rsid w:val="008E2956"/>
    <w:rsid w:val="008E407C"/>
    <w:rsid w:val="00901206"/>
    <w:rsid w:val="0090796E"/>
    <w:rsid w:val="00910BF0"/>
    <w:rsid w:val="00917BC7"/>
    <w:rsid w:val="00934272"/>
    <w:rsid w:val="009450B0"/>
    <w:rsid w:val="00947FC5"/>
    <w:rsid w:val="009577B1"/>
    <w:rsid w:val="009635E5"/>
    <w:rsid w:val="00983557"/>
    <w:rsid w:val="009851B5"/>
    <w:rsid w:val="00991904"/>
    <w:rsid w:val="00991926"/>
    <w:rsid w:val="00996366"/>
    <w:rsid w:val="009974E3"/>
    <w:rsid w:val="00997F9B"/>
    <w:rsid w:val="009B6598"/>
    <w:rsid w:val="009B71C4"/>
    <w:rsid w:val="009C555A"/>
    <w:rsid w:val="009E5C25"/>
    <w:rsid w:val="00A04351"/>
    <w:rsid w:val="00A07B79"/>
    <w:rsid w:val="00A21BD6"/>
    <w:rsid w:val="00A4714A"/>
    <w:rsid w:val="00A47846"/>
    <w:rsid w:val="00A47C6A"/>
    <w:rsid w:val="00A617BC"/>
    <w:rsid w:val="00A7420A"/>
    <w:rsid w:val="00A82A56"/>
    <w:rsid w:val="00A84792"/>
    <w:rsid w:val="00A84A0D"/>
    <w:rsid w:val="00A971BF"/>
    <w:rsid w:val="00AC0BAD"/>
    <w:rsid w:val="00AE70EA"/>
    <w:rsid w:val="00AE76B3"/>
    <w:rsid w:val="00AF6562"/>
    <w:rsid w:val="00AF745F"/>
    <w:rsid w:val="00B00E21"/>
    <w:rsid w:val="00B01D22"/>
    <w:rsid w:val="00B14866"/>
    <w:rsid w:val="00B206B4"/>
    <w:rsid w:val="00B3492C"/>
    <w:rsid w:val="00B515FC"/>
    <w:rsid w:val="00B52969"/>
    <w:rsid w:val="00B56DAF"/>
    <w:rsid w:val="00B62579"/>
    <w:rsid w:val="00B72593"/>
    <w:rsid w:val="00B8055F"/>
    <w:rsid w:val="00B90786"/>
    <w:rsid w:val="00BA00EF"/>
    <w:rsid w:val="00BB1360"/>
    <w:rsid w:val="00BB36EF"/>
    <w:rsid w:val="00BB7BA9"/>
    <w:rsid w:val="00BC0C73"/>
    <w:rsid w:val="00BD15D9"/>
    <w:rsid w:val="00BE2E01"/>
    <w:rsid w:val="00BE4AEE"/>
    <w:rsid w:val="00BF793C"/>
    <w:rsid w:val="00C07E2D"/>
    <w:rsid w:val="00C233C8"/>
    <w:rsid w:val="00C44601"/>
    <w:rsid w:val="00C51F05"/>
    <w:rsid w:val="00C7369E"/>
    <w:rsid w:val="00C85475"/>
    <w:rsid w:val="00C91A2C"/>
    <w:rsid w:val="00CA2772"/>
    <w:rsid w:val="00CA5BED"/>
    <w:rsid w:val="00CB6323"/>
    <w:rsid w:val="00CE7DD7"/>
    <w:rsid w:val="00D02EE3"/>
    <w:rsid w:val="00D07AEF"/>
    <w:rsid w:val="00D1762C"/>
    <w:rsid w:val="00D40547"/>
    <w:rsid w:val="00D67B95"/>
    <w:rsid w:val="00D74416"/>
    <w:rsid w:val="00D83467"/>
    <w:rsid w:val="00D913BF"/>
    <w:rsid w:val="00DB0177"/>
    <w:rsid w:val="00DB4590"/>
    <w:rsid w:val="00DD1052"/>
    <w:rsid w:val="00DE58F4"/>
    <w:rsid w:val="00E05BD2"/>
    <w:rsid w:val="00E13226"/>
    <w:rsid w:val="00E5369C"/>
    <w:rsid w:val="00E8020C"/>
    <w:rsid w:val="00E83D35"/>
    <w:rsid w:val="00E932EB"/>
    <w:rsid w:val="00EA021C"/>
    <w:rsid w:val="00EA10A3"/>
    <w:rsid w:val="00EC33D4"/>
    <w:rsid w:val="00ED5E22"/>
    <w:rsid w:val="00EE0526"/>
    <w:rsid w:val="00EE5873"/>
    <w:rsid w:val="00F02A9E"/>
    <w:rsid w:val="00F043D5"/>
    <w:rsid w:val="00F068F7"/>
    <w:rsid w:val="00F1323C"/>
    <w:rsid w:val="00F21075"/>
    <w:rsid w:val="00F23C5E"/>
    <w:rsid w:val="00F53354"/>
    <w:rsid w:val="00F55E64"/>
    <w:rsid w:val="00F57584"/>
    <w:rsid w:val="00F6285A"/>
    <w:rsid w:val="00F715DE"/>
    <w:rsid w:val="00F75611"/>
    <w:rsid w:val="00FA05EF"/>
    <w:rsid w:val="00FC25F1"/>
    <w:rsid w:val="00FC78AB"/>
    <w:rsid w:val="00FD3501"/>
    <w:rsid w:val="00FE3722"/>
    <w:rsid w:val="00FE6108"/>
    <w:rsid w:val="00FE6EF2"/>
    <w:rsid w:val="00FE74FD"/>
    <w:rsid w:val="00FF6D59"/>
    <w:rsid w:val="00FF6D5D"/>
    <w:rsid w:val="06D305CE"/>
    <w:rsid w:val="10AA60B1"/>
    <w:rsid w:val="308F5092"/>
    <w:rsid w:val="37C1D865"/>
    <w:rsid w:val="4892E44E"/>
    <w:rsid w:val="4E655CBD"/>
    <w:rsid w:val="5293580B"/>
    <w:rsid w:val="5CE1C9DC"/>
    <w:rsid w:val="69767247"/>
    <w:rsid w:val="6A32F828"/>
    <w:rsid w:val="70BA3997"/>
    <w:rsid w:val="72B2F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E054990"/>
  <w15:chartTrackingRefBased/>
  <w15:docId w15:val="{E638310B-C8F9-4555-81BB-2A464696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A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4A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402"/>
    <w:pPr>
      <w:ind w:left="720"/>
      <w:contextualSpacing/>
    </w:pPr>
  </w:style>
  <w:style w:type="character" w:styleId="CommentReference">
    <w:name w:val="annotation reference"/>
    <w:basedOn w:val="DefaultParagraphFont"/>
    <w:uiPriority w:val="99"/>
    <w:semiHidden/>
    <w:unhideWhenUsed/>
    <w:rsid w:val="000C24A1"/>
    <w:rPr>
      <w:sz w:val="16"/>
      <w:szCs w:val="16"/>
    </w:rPr>
  </w:style>
  <w:style w:type="paragraph" w:styleId="CommentText">
    <w:name w:val="annotation text"/>
    <w:basedOn w:val="Normal"/>
    <w:link w:val="CommentTextChar"/>
    <w:uiPriority w:val="99"/>
    <w:semiHidden/>
    <w:unhideWhenUsed/>
    <w:rsid w:val="000C24A1"/>
    <w:pPr>
      <w:spacing w:line="240" w:lineRule="auto"/>
    </w:pPr>
    <w:rPr>
      <w:sz w:val="20"/>
      <w:szCs w:val="20"/>
    </w:rPr>
  </w:style>
  <w:style w:type="character" w:customStyle="1" w:styleId="CommentTextChar">
    <w:name w:val="Comment Text Char"/>
    <w:basedOn w:val="DefaultParagraphFont"/>
    <w:link w:val="CommentText"/>
    <w:uiPriority w:val="99"/>
    <w:semiHidden/>
    <w:rsid w:val="000C24A1"/>
    <w:rPr>
      <w:sz w:val="20"/>
      <w:szCs w:val="20"/>
    </w:rPr>
  </w:style>
  <w:style w:type="paragraph" w:styleId="CommentSubject">
    <w:name w:val="annotation subject"/>
    <w:basedOn w:val="CommentText"/>
    <w:next w:val="CommentText"/>
    <w:link w:val="CommentSubjectChar"/>
    <w:uiPriority w:val="99"/>
    <w:semiHidden/>
    <w:unhideWhenUsed/>
    <w:rsid w:val="000C24A1"/>
    <w:rPr>
      <w:b/>
      <w:bCs/>
    </w:rPr>
  </w:style>
  <w:style w:type="character" w:customStyle="1" w:styleId="CommentSubjectChar">
    <w:name w:val="Comment Subject Char"/>
    <w:basedOn w:val="CommentTextChar"/>
    <w:link w:val="CommentSubject"/>
    <w:uiPriority w:val="99"/>
    <w:semiHidden/>
    <w:rsid w:val="000C24A1"/>
    <w:rPr>
      <w:b/>
      <w:bCs/>
      <w:sz w:val="20"/>
      <w:szCs w:val="20"/>
    </w:rPr>
  </w:style>
  <w:style w:type="paragraph" w:styleId="BalloonText">
    <w:name w:val="Balloon Text"/>
    <w:basedOn w:val="Normal"/>
    <w:link w:val="BalloonTextChar"/>
    <w:uiPriority w:val="99"/>
    <w:semiHidden/>
    <w:unhideWhenUsed/>
    <w:rsid w:val="000C2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4A1"/>
    <w:rPr>
      <w:rFonts w:ascii="Segoe UI" w:hAnsi="Segoe UI" w:cs="Segoe UI"/>
      <w:sz w:val="18"/>
      <w:szCs w:val="18"/>
    </w:rPr>
  </w:style>
  <w:style w:type="character" w:customStyle="1" w:styleId="Heading1Char">
    <w:name w:val="Heading 1 Char"/>
    <w:basedOn w:val="DefaultParagraphFont"/>
    <w:link w:val="Heading1"/>
    <w:uiPriority w:val="9"/>
    <w:rsid w:val="00A84A0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84A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A0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84A0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F4DC9"/>
    <w:pPr>
      <w:spacing w:after="0" w:line="240" w:lineRule="auto"/>
    </w:pPr>
  </w:style>
  <w:style w:type="character" w:styleId="Hyperlink">
    <w:name w:val="Hyperlink"/>
    <w:basedOn w:val="DefaultParagraphFont"/>
    <w:uiPriority w:val="99"/>
    <w:unhideWhenUsed/>
    <w:rsid w:val="00592391"/>
    <w:rPr>
      <w:color w:val="0563C1" w:themeColor="hyperlink"/>
      <w:u w:val="single"/>
    </w:rPr>
  </w:style>
  <w:style w:type="character" w:styleId="Strong">
    <w:name w:val="Strong"/>
    <w:basedOn w:val="DefaultParagraphFont"/>
    <w:uiPriority w:val="22"/>
    <w:qFormat/>
    <w:rsid w:val="00592391"/>
    <w:rPr>
      <w:b/>
      <w:bCs/>
    </w:rPr>
  </w:style>
  <w:style w:type="paragraph" w:styleId="FootnoteText">
    <w:name w:val="footnote text"/>
    <w:basedOn w:val="Normal"/>
    <w:link w:val="FootnoteTextChar"/>
    <w:uiPriority w:val="99"/>
    <w:semiHidden/>
    <w:unhideWhenUsed/>
    <w:rsid w:val="00C73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69E"/>
    <w:rPr>
      <w:sz w:val="20"/>
      <w:szCs w:val="20"/>
    </w:rPr>
  </w:style>
  <w:style w:type="character" w:styleId="FootnoteReference">
    <w:name w:val="footnote reference"/>
    <w:basedOn w:val="DefaultParagraphFont"/>
    <w:uiPriority w:val="99"/>
    <w:semiHidden/>
    <w:unhideWhenUsed/>
    <w:rsid w:val="00C7369E"/>
    <w:rPr>
      <w:vertAlign w:val="superscript"/>
    </w:rPr>
  </w:style>
  <w:style w:type="character" w:styleId="FollowedHyperlink">
    <w:name w:val="FollowedHyperlink"/>
    <w:basedOn w:val="DefaultParagraphFont"/>
    <w:uiPriority w:val="99"/>
    <w:semiHidden/>
    <w:unhideWhenUsed/>
    <w:rsid w:val="00D74416"/>
    <w:rPr>
      <w:color w:val="954F72" w:themeColor="followedHyperlink"/>
      <w:u w:val="single"/>
    </w:rPr>
  </w:style>
  <w:style w:type="paragraph" w:styleId="Header">
    <w:name w:val="header"/>
    <w:basedOn w:val="Normal"/>
    <w:link w:val="HeaderChar"/>
    <w:uiPriority w:val="99"/>
    <w:unhideWhenUsed/>
    <w:rsid w:val="00E83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D35"/>
  </w:style>
  <w:style w:type="paragraph" w:styleId="Footer">
    <w:name w:val="footer"/>
    <w:basedOn w:val="Normal"/>
    <w:link w:val="FooterChar"/>
    <w:uiPriority w:val="99"/>
    <w:unhideWhenUsed/>
    <w:rsid w:val="00E83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312">
      <w:bodyDiv w:val="1"/>
      <w:marLeft w:val="0"/>
      <w:marRight w:val="0"/>
      <w:marTop w:val="0"/>
      <w:marBottom w:val="0"/>
      <w:divBdr>
        <w:top w:val="none" w:sz="0" w:space="0" w:color="auto"/>
        <w:left w:val="none" w:sz="0" w:space="0" w:color="auto"/>
        <w:bottom w:val="none" w:sz="0" w:space="0" w:color="auto"/>
        <w:right w:val="none" w:sz="0" w:space="0" w:color="auto"/>
      </w:divBdr>
      <w:divsChild>
        <w:div w:id="755520871">
          <w:marLeft w:val="0"/>
          <w:marRight w:val="0"/>
          <w:marTop w:val="150"/>
          <w:marBottom w:val="150"/>
          <w:divBdr>
            <w:top w:val="none" w:sz="0" w:space="0" w:color="auto"/>
            <w:left w:val="none" w:sz="0" w:space="0" w:color="auto"/>
            <w:bottom w:val="none" w:sz="0" w:space="0" w:color="auto"/>
            <w:right w:val="none" w:sz="0" w:space="0" w:color="auto"/>
          </w:divBdr>
          <w:divsChild>
            <w:div w:id="1461679877">
              <w:marLeft w:val="0"/>
              <w:marRight w:val="0"/>
              <w:marTop w:val="810"/>
              <w:marBottom w:val="0"/>
              <w:divBdr>
                <w:top w:val="single" w:sz="6" w:space="8" w:color="CCCCCC"/>
                <w:left w:val="single" w:sz="6" w:space="15" w:color="CCCCCC"/>
                <w:bottom w:val="single" w:sz="6" w:space="8" w:color="CCCCCC"/>
                <w:right w:val="single" w:sz="6" w:space="15" w:color="CCCCCC"/>
              </w:divBdr>
            </w:div>
          </w:divsChild>
        </w:div>
      </w:divsChild>
    </w:div>
    <w:div w:id="553853733">
      <w:bodyDiv w:val="1"/>
      <w:marLeft w:val="0"/>
      <w:marRight w:val="0"/>
      <w:marTop w:val="0"/>
      <w:marBottom w:val="0"/>
      <w:divBdr>
        <w:top w:val="none" w:sz="0" w:space="0" w:color="auto"/>
        <w:left w:val="none" w:sz="0" w:space="0" w:color="auto"/>
        <w:bottom w:val="none" w:sz="0" w:space="0" w:color="auto"/>
        <w:right w:val="none" w:sz="0" w:space="0" w:color="auto"/>
      </w:divBdr>
      <w:divsChild>
        <w:div w:id="1505362994">
          <w:marLeft w:val="547"/>
          <w:marRight w:val="0"/>
          <w:marTop w:val="200"/>
          <w:marBottom w:val="0"/>
          <w:divBdr>
            <w:top w:val="none" w:sz="0" w:space="0" w:color="auto"/>
            <w:left w:val="none" w:sz="0" w:space="0" w:color="auto"/>
            <w:bottom w:val="none" w:sz="0" w:space="0" w:color="auto"/>
            <w:right w:val="none" w:sz="0" w:space="0" w:color="auto"/>
          </w:divBdr>
        </w:div>
        <w:div w:id="180096889">
          <w:marLeft w:val="547"/>
          <w:marRight w:val="0"/>
          <w:marTop w:val="200"/>
          <w:marBottom w:val="0"/>
          <w:divBdr>
            <w:top w:val="none" w:sz="0" w:space="0" w:color="auto"/>
            <w:left w:val="none" w:sz="0" w:space="0" w:color="auto"/>
            <w:bottom w:val="none" w:sz="0" w:space="0" w:color="auto"/>
            <w:right w:val="none" w:sz="0" w:space="0" w:color="auto"/>
          </w:divBdr>
        </w:div>
        <w:div w:id="1838494418">
          <w:marLeft w:val="547"/>
          <w:marRight w:val="0"/>
          <w:marTop w:val="200"/>
          <w:marBottom w:val="0"/>
          <w:divBdr>
            <w:top w:val="none" w:sz="0" w:space="0" w:color="auto"/>
            <w:left w:val="none" w:sz="0" w:space="0" w:color="auto"/>
            <w:bottom w:val="none" w:sz="0" w:space="0" w:color="auto"/>
            <w:right w:val="none" w:sz="0" w:space="0" w:color="auto"/>
          </w:divBdr>
        </w:div>
        <w:div w:id="1313488174">
          <w:marLeft w:val="547"/>
          <w:marRight w:val="0"/>
          <w:marTop w:val="200"/>
          <w:marBottom w:val="0"/>
          <w:divBdr>
            <w:top w:val="none" w:sz="0" w:space="0" w:color="auto"/>
            <w:left w:val="none" w:sz="0" w:space="0" w:color="auto"/>
            <w:bottom w:val="none" w:sz="0" w:space="0" w:color="auto"/>
            <w:right w:val="none" w:sz="0" w:space="0" w:color="auto"/>
          </w:divBdr>
        </w:div>
        <w:div w:id="2077051625">
          <w:marLeft w:val="1166"/>
          <w:marRight w:val="0"/>
          <w:marTop w:val="200"/>
          <w:marBottom w:val="0"/>
          <w:divBdr>
            <w:top w:val="none" w:sz="0" w:space="0" w:color="auto"/>
            <w:left w:val="none" w:sz="0" w:space="0" w:color="auto"/>
            <w:bottom w:val="none" w:sz="0" w:space="0" w:color="auto"/>
            <w:right w:val="none" w:sz="0" w:space="0" w:color="auto"/>
          </w:divBdr>
        </w:div>
        <w:div w:id="485246155">
          <w:marLeft w:val="1166"/>
          <w:marRight w:val="0"/>
          <w:marTop w:val="200"/>
          <w:marBottom w:val="0"/>
          <w:divBdr>
            <w:top w:val="none" w:sz="0" w:space="0" w:color="auto"/>
            <w:left w:val="none" w:sz="0" w:space="0" w:color="auto"/>
            <w:bottom w:val="none" w:sz="0" w:space="0" w:color="auto"/>
            <w:right w:val="none" w:sz="0" w:space="0" w:color="auto"/>
          </w:divBdr>
        </w:div>
        <w:div w:id="1435515047">
          <w:marLeft w:val="547"/>
          <w:marRight w:val="0"/>
          <w:marTop w:val="200"/>
          <w:marBottom w:val="0"/>
          <w:divBdr>
            <w:top w:val="none" w:sz="0" w:space="0" w:color="auto"/>
            <w:left w:val="none" w:sz="0" w:space="0" w:color="auto"/>
            <w:bottom w:val="none" w:sz="0" w:space="0" w:color="auto"/>
            <w:right w:val="none" w:sz="0" w:space="0" w:color="auto"/>
          </w:divBdr>
        </w:div>
        <w:div w:id="1575507605">
          <w:marLeft w:val="547"/>
          <w:marRight w:val="0"/>
          <w:marTop w:val="200"/>
          <w:marBottom w:val="0"/>
          <w:divBdr>
            <w:top w:val="none" w:sz="0" w:space="0" w:color="auto"/>
            <w:left w:val="none" w:sz="0" w:space="0" w:color="auto"/>
            <w:bottom w:val="none" w:sz="0" w:space="0" w:color="auto"/>
            <w:right w:val="none" w:sz="0" w:space="0" w:color="auto"/>
          </w:divBdr>
        </w:div>
      </w:divsChild>
    </w:div>
    <w:div w:id="1696232456">
      <w:bodyDiv w:val="1"/>
      <w:marLeft w:val="0"/>
      <w:marRight w:val="0"/>
      <w:marTop w:val="0"/>
      <w:marBottom w:val="0"/>
      <w:divBdr>
        <w:top w:val="none" w:sz="0" w:space="0" w:color="auto"/>
        <w:left w:val="none" w:sz="0" w:space="0" w:color="auto"/>
        <w:bottom w:val="none" w:sz="0" w:space="0" w:color="auto"/>
        <w:right w:val="none" w:sz="0" w:space="0" w:color="auto"/>
      </w:divBdr>
    </w:div>
    <w:div w:id="173762798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51714c-4b21-49ae-a81a-11a4d745d412">
      <Terms xmlns="http://schemas.microsoft.com/office/infopath/2007/PartnerControls"/>
    </lcf76f155ced4ddcb4097134ff3c332f>
    <TaxCatchAll xmlns="4171f854-f482-4227-add5-188c3bba07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B373C1B97F864B9FE02742DA7B8988" ma:contentTypeVersion="13" ma:contentTypeDescription="Create a new document." ma:contentTypeScope="" ma:versionID="bce2f9599977e56fa2b70245121bf26a">
  <xsd:schema xmlns:xsd="http://www.w3.org/2001/XMLSchema" xmlns:xs="http://www.w3.org/2001/XMLSchema" xmlns:p="http://schemas.microsoft.com/office/2006/metadata/properties" xmlns:ns2="9051714c-4b21-49ae-a81a-11a4d745d412" xmlns:ns3="4171f854-f482-4227-add5-188c3bba07ce" targetNamespace="http://schemas.microsoft.com/office/2006/metadata/properties" ma:root="true" ma:fieldsID="d4836067dd833f5d858b3b7863452d5f" ns2:_="" ns3:_="">
    <xsd:import namespace="9051714c-4b21-49ae-a81a-11a4d745d412"/>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14c-4b21-49ae-a81a-11a4d745d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93996-F11F-4540-A7A0-97A18F477A67}">
  <ds:schemaRefs>
    <ds:schemaRef ds:uri="http://schemas.microsoft.com/sharepoint/v3/contenttype/forms"/>
  </ds:schemaRefs>
</ds:datastoreItem>
</file>

<file path=customXml/itemProps2.xml><?xml version="1.0" encoding="utf-8"?>
<ds:datastoreItem xmlns:ds="http://schemas.openxmlformats.org/officeDocument/2006/customXml" ds:itemID="{0CBC46AE-1A6F-45CF-9E48-A95137D33ECC}">
  <ds:schemaRefs>
    <ds:schemaRef ds:uri="http://purl.org/dc/elements/1.1/"/>
    <ds:schemaRef ds:uri="http://schemas.microsoft.com/office/2006/metadata/properties"/>
    <ds:schemaRef ds:uri="http://purl.org/dc/terms/"/>
    <ds:schemaRef ds:uri="http://schemas.openxmlformats.org/package/2006/metadata/core-properties"/>
    <ds:schemaRef ds:uri="4171f854-f482-4227-add5-188c3bba07ce"/>
    <ds:schemaRef ds:uri="http://schemas.microsoft.com/office/2006/documentManagement/types"/>
    <ds:schemaRef ds:uri="http://schemas.microsoft.com/office/infopath/2007/PartnerControls"/>
    <ds:schemaRef ds:uri="9051714c-4b21-49ae-a81a-11a4d745d412"/>
    <ds:schemaRef ds:uri="http://www.w3.org/XML/1998/namespace"/>
    <ds:schemaRef ds:uri="http://purl.org/dc/dcmitype/"/>
  </ds:schemaRefs>
</ds:datastoreItem>
</file>

<file path=customXml/itemProps3.xml><?xml version="1.0" encoding="utf-8"?>
<ds:datastoreItem xmlns:ds="http://schemas.openxmlformats.org/officeDocument/2006/customXml" ds:itemID="{23C0F8B0-3A1A-A546-B69D-480D435AA469}">
  <ds:schemaRefs>
    <ds:schemaRef ds:uri="http://schemas.openxmlformats.org/officeDocument/2006/bibliography"/>
  </ds:schemaRefs>
</ds:datastoreItem>
</file>

<file path=customXml/itemProps4.xml><?xml version="1.0" encoding="utf-8"?>
<ds:datastoreItem xmlns:ds="http://schemas.openxmlformats.org/officeDocument/2006/customXml" ds:itemID="{7D6DE172-6001-498D-90BD-71BF882D1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1714c-4b21-49ae-a81a-11a4d745d412"/>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5105</Characters>
  <Application>Microsoft Office Word</Application>
  <DocSecurity>0</DocSecurity>
  <Lines>42</Lines>
  <Paragraphs>11</Paragraphs>
  <ScaleCrop>false</ScaleCrop>
  <Company>CBM Australia</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Hodson</dc:creator>
  <cp:keywords/>
  <dc:description/>
  <cp:lastModifiedBy>Kerryn Clarke</cp:lastModifiedBy>
  <cp:revision>2</cp:revision>
  <dcterms:created xsi:type="dcterms:W3CDTF">2022-10-11T03:16:00Z</dcterms:created>
  <dcterms:modified xsi:type="dcterms:W3CDTF">2022-10-11T03:16:00Z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0x01010030B373C1B97F864B9FE02742DA7B8988</vt:lpwstr>
  </property>
  <property fmtid="{D5CDD505-2E9C-101B-9397-08002B2CF9AE}" pid="3" name="MediaServiceImageTags">
    <vt:lpwstr/>
  </property>
</Properties>
</file>