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06E5" w14:textId="7AF7A169" w:rsidR="0013256F" w:rsidRDefault="0013256F" w:rsidP="0013256F">
      <w:pPr>
        <w:jc w:val="center"/>
        <w:rPr>
          <w:rStyle w:val="normaltextrun"/>
          <w:b/>
          <w:bCs/>
          <w:color w:val="298386"/>
          <w:sz w:val="32"/>
          <w:szCs w:val="32"/>
          <w:shd w:val="clear" w:color="auto" w:fill="FFFFFF"/>
        </w:rPr>
      </w:pPr>
      <w:r w:rsidRPr="0013256F">
        <w:rPr>
          <w:b/>
          <w:bCs/>
          <w:noProof/>
          <w:color w:val="298386"/>
          <w:sz w:val="32"/>
          <w:szCs w:val="32"/>
          <w:shd w:val="clear" w:color="auto" w:fill="FFFFFF"/>
        </w:rPr>
        <w:drawing>
          <wp:inline distT="0" distB="0" distL="0" distR="0" wp14:anchorId="63A2792C" wp14:editId="07A9E7AC">
            <wp:extent cx="1741021" cy="1033669"/>
            <wp:effectExtent l="0" t="0" r="0" b="0"/>
            <wp:docPr id="889585312" name="Picture 1" descr="AD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85312" name="Picture 1" descr="ADDC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1021" cy="1033669"/>
                    </a:xfrm>
                    <a:prstGeom prst="rect">
                      <a:avLst/>
                    </a:prstGeom>
                  </pic:spPr>
                </pic:pic>
              </a:graphicData>
            </a:graphic>
          </wp:inline>
        </w:drawing>
      </w:r>
    </w:p>
    <w:p w14:paraId="5ED77386" w14:textId="11BDB09A" w:rsidR="00810326" w:rsidRPr="001B2307" w:rsidRDefault="00810326" w:rsidP="001B2307">
      <w:pPr>
        <w:pStyle w:val="Heading1"/>
        <w:rPr>
          <w:rStyle w:val="normaltextrun"/>
        </w:rPr>
      </w:pPr>
      <w:r w:rsidRPr="001B2307">
        <w:rPr>
          <w:rStyle w:val="normaltextrun"/>
        </w:rPr>
        <w:t>Federal Budget 202</w:t>
      </w:r>
      <w:r w:rsidR="00EA4AF4" w:rsidRPr="001B2307">
        <w:rPr>
          <w:rStyle w:val="normaltextrun"/>
        </w:rPr>
        <w:t>4</w:t>
      </w:r>
      <w:r w:rsidRPr="001B2307">
        <w:rPr>
          <w:rStyle w:val="normaltextrun"/>
        </w:rPr>
        <w:t>-202</w:t>
      </w:r>
      <w:r w:rsidR="00EA4AF4" w:rsidRPr="001B2307">
        <w:rPr>
          <w:rStyle w:val="normaltextrun"/>
        </w:rPr>
        <w:t>5</w:t>
      </w:r>
      <w:r w:rsidR="0013256F" w:rsidRPr="001B2307">
        <w:rPr>
          <w:rStyle w:val="normaltextrun"/>
        </w:rPr>
        <w:t xml:space="preserve"> - </w:t>
      </w:r>
      <w:r w:rsidRPr="001B2307">
        <w:rPr>
          <w:rStyle w:val="normaltextrun"/>
        </w:rPr>
        <w:t>Submission to Treasury</w:t>
      </w:r>
    </w:p>
    <w:p w14:paraId="67213035" w14:textId="77777777" w:rsidR="00BF2F66" w:rsidRPr="00E11757" w:rsidRDefault="00BF2F66" w:rsidP="006F648E">
      <w:pPr>
        <w:spacing w:line="276" w:lineRule="auto"/>
        <w:rPr>
          <w:rFonts w:eastAsia="Times New Roman" w:cstheme="majorBidi"/>
          <w:sz w:val="10"/>
          <w:szCs w:val="10"/>
        </w:rPr>
      </w:pPr>
    </w:p>
    <w:p w14:paraId="3D97BF8A" w14:textId="0F3D80A1" w:rsidR="00807B9F" w:rsidRDefault="00BF2F66" w:rsidP="42D85238">
      <w:pPr>
        <w:spacing w:after="160" w:line="276" w:lineRule="auto"/>
        <w:rPr>
          <w:rFonts w:eastAsia="Times New Roman" w:cstheme="majorBidi"/>
        </w:rPr>
      </w:pPr>
      <w:r w:rsidRPr="00EE7142">
        <w:rPr>
          <w:rFonts w:eastAsia="Times New Roman" w:cstheme="majorBidi"/>
        </w:rPr>
        <w:t xml:space="preserve">The vision of the Australian Disability and Development Consortium (ADDC) is that the voices and rights of people with disabilities are elevated, reflected in, and inform all international development policies and programs of Australian agencies. </w:t>
      </w:r>
      <w:r w:rsidR="00EE7142" w:rsidRPr="00EE7142">
        <w:rPr>
          <w:rFonts w:eastAsia="Times New Roman" w:cstheme="majorBidi"/>
        </w:rPr>
        <w:t>In pursuit of this vision, we welcome the opportunity to provide input drawn from the experience and expertise of our membership for the 202</w:t>
      </w:r>
      <w:r w:rsidR="004C60AD">
        <w:rPr>
          <w:rFonts w:eastAsia="Times New Roman" w:cstheme="majorBidi"/>
        </w:rPr>
        <w:t>4</w:t>
      </w:r>
      <w:r w:rsidR="00EE7142" w:rsidRPr="00EE7142">
        <w:rPr>
          <w:rFonts w:eastAsia="Times New Roman" w:cstheme="majorBidi"/>
        </w:rPr>
        <w:t>-2</w:t>
      </w:r>
      <w:r w:rsidR="004C60AD">
        <w:rPr>
          <w:rFonts w:eastAsia="Times New Roman" w:cstheme="majorBidi"/>
        </w:rPr>
        <w:t>5</w:t>
      </w:r>
      <w:r w:rsidR="00EE7142" w:rsidRPr="00EE7142">
        <w:rPr>
          <w:rFonts w:eastAsia="Times New Roman" w:cstheme="majorBidi"/>
        </w:rPr>
        <w:t xml:space="preserve"> Federal Budget. This submission provides budgetary </w:t>
      </w:r>
      <w:r w:rsidR="000837DB">
        <w:rPr>
          <w:rFonts w:eastAsia="Times New Roman" w:cstheme="majorBidi"/>
        </w:rPr>
        <w:t xml:space="preserve">analysis and </w:t>
      </w:r>
      <w:r w:rsidR="00EE7142" w:rsidRPr="00EE7142">
        <w:rPr>
          <w:rFonts w:eastAsia="Times New Roman" w:cstheme="majorBidi"/>
        </w:rPr>
        <w:t xml:space="preserve">guidance to </w:t>
      </w:r>
      <w:r w:rsidR="000837DB">
        <w:rPr>
          <w:rFonts w:eastAsia="Times New Roman" w:cstheme="majorBidi"/>
        </w:rPr>
        <w:t>elevate</w:t>
      </w:r>
      <w:r w:rsidR="004C60AD">
        <w:rPr>
          <w:rFonts w:eastAsia="Times New Roman" w:cstheme="majorBidi"/>
        </w:rPr>
        <w:t xml:space="preserve"> disability equity and rights as a core area of action</w:t>
      </w:r>
      <w:r w:rsidR="00176DCA">
        <w:rPr>
          <w:rFonts w:eastAsia="Times New Roman" w:cstheme="majorBidi"/>
        </w:rPr>
        <w:t xml:space="preserve"> of Australia’s international development program; a commitment stipulated in </w:t>
      </w:r>
      <w:r w:rsidR="000E0BA0">
        <w:rPr>
          <w:rFonts w:eastAsia="Times New Roman" w:cstheme="majorBidi"/>
        </w:rPr>
        <w:t xml:space="preserve">Australia’s </w:t>
      </w:r>
      <w:r w:rsidR="000837DB">
        <w:rPr>
          <w:rFonts w:eastAsia="Times New Roman" w:cstheme="majorBidi"/>
        </w:rPr>
        <w:t>current International Development Policy.</w:t>
      </w:r>
      <w:r w:rsidR="00F639A8">
        <w:rPr>
          <w:rFonts w:eastAsia="Times New Roman" w:cstheme="majorBidi"/>
        </w:rPr>
        <w:t xml:space="preserve"> </w:t>
      </w:r>
      <w:r w:rsidR="00176DCA" w:rsidRPr="42D85238">
        <w:rPr>
          <w:rFonts w:eastAsia="Times New Roman" w:cstheme="majorBidi"/>
        </w:rPr>
        <w:t xml:space="preserve">To meet </w:t>
      </w:r>
      <w:r w:rsidR="00B65ED8" w:rsidRPr="42D85238">
        <w:rPr>
          <w:rFonts w:eastAsia="Times New Roman" w:cstheme="majorBidi"/>
        </w:rPr>
        <w:t xml:space="preserve">this </w:t>
      </w:r>
      <w:r w:rsidR="00176DCA" w:rsidRPr="42D85238">
        <w:rPr>
          <w:rFonts w:eastAsia="Times New Roman" w:cstheme="majorBidi"/>
        </w:rPr>
        <w:t>commitment, ADDC recommends</w:t>
      </w:r>
      <w:r w:rsidR="001B1172" w:rsidRPr="42D85238">
        <w:rPr>
          <w:rFonts w:eastAsia="Times New Roman" w:cstheme="majorBidi"/>
        </w:rPr>
        <w:t xml:space="preserve"> </w:t>
      </w:r>
      <w:r w:rsidR="00EA7C70" w:rsidRPr="42D85238">
        <w:rPr>
          <w:rFonts w:eastAsia="Times New Roman" w:cstheme="majorBidi"/>
        </w:rPr>
        <w:t>resourc</w:t>
      </w:r>
      <w:r w:rsidR="31CE6B7B" w:rsidRPr="42D85238">
        <w:rPr>
          <w:rFonts w:eastAsia="Times New Roman" w:cstheme="majorBidi"/>
        </w:rPr>
        <w:t>es</w:t>
      </w:r>
      <w:r w:rsidR="00EA7C70" w:rsidRPr="42D85238">
        <w:rPr>
          <w:rFonts w:eastAsia="Times New Roman" w:cstheme="majorBidi"/>
        </w:rPr>
        <w:t xml:space="preserve"> </w:t>
      </w:r>
      <w:r w:rsidR="27FD3224" w:rsidRPr="42D85238">
        <w:rPr>
          <w:rFonts w:eastAsia="Times New Roman" w:cstheme="majorBidi"/>
        </w:rPr>
        <w:t>in</w:t>
      </w:r>
      <w:r w:rsidR="00EA7C70" w:rsidRPr="42D85238">
        <w:rPr>
          <w:rFonts w:eastAsia="Times New Roman" w:cstheme="majorBidi"/>
        </w:rPr>
        <w:t xml:space="preserve"> the forthcoming </w:t>
      </w:r>
      <w:r w:rsidR="00F41FC8">
        <w:rPr>
          <w:rFonts w:eastAsia="Times New Roman" w:cstheme="majorBidi"/>
        </w:rPr>
        <w:t>Official D</w:t>
      </w:r>
      <w:r w:rsidR="00213D7A">
        <w:rPr>
          <w:rFonts w:eastAsia="Times New Roman" w:cstheme="majorBidi"/>
        </w:rPr>
        <w:t xml:space="preserve">evelopment </w:t>
      </w:r>
      <w:r w:rsidR="00F41FC8">
        <w:rPr>
          <w:rFonts w:eastAsia="Times New Roman" w:cstheme="majorBidi"/>
        </w:rPr>
        <w:t>A</w:t>
      </w:r>
      <w:r w:rsidR="00213D7A">
        <w:rPr>
          <w:rFonts w:eastAsia="Times New Roman" w:cstheme="majorBidi"/>
        </w:rPr>
        <w:t xml:space="preserve">ssistance (ODA) </w:t>
      </w:r>
      <w:r w:rsidR="00EA7C70" w:rsidRPr="42D85238">
        <w:rPr>
          <w:rFonts w:eastAsia="Times New Roman" w:cstheme="majorBidi"/>
        </w:rPr>
        <w:t>budget</w:t>
      </w:r>
      <w:r w:rsidR="000E0BA0">
        <w:rPr>
          <w:rFonts w:eastAsia="Times New Roman" w:cstheme="majorBidi"/>
        </w:rPr>
        <w:t xml:space="preserve"> for 2024-25 and beyond</w:t>
      </w:r>
      <w:r w:rsidR="00EA7C70" w:rsidRPr="42D85238">
        <w:rPr>
          <w:rFonts w:eastAsia="Times New Roman" w:cstheme="majorBidi"/>
        </w:rPr>
        <w:t xml:space="preserve"> are allocated to </w:t>
      </w:r>
      <w:r w:rsidR="00807B9F" w:rsidRPr="42D85238">
        <w:rPr>
          <w:rFonts w:eastAsia="Times New Roman" w:cstheme="majorBidi"/>
        </w:rPr>
        <w:t xml:space="preserve">disability equity and rights initiatives, both </w:t>
      </w:r>
      <w:r w:rsidR="007A02B2">
        <w:rPr>
          <w:rFonts w:eastAsia="Times New Roman" w:cstheme="majorBidi"/>
        </w:rPr>
        <w:t>to</w:t>
      </w:r>
      <w:r w:rsidR="00807B9F" w:rsidRPr="42D85238">
        <w:rPr>
          <w:rFonts w:eastAsia="Times New Roman" w:cstheme="majorBidi"/>
        </w:rPr>
        <w:t xml:space="preserve"> disability-specific initiatives as well as ensuring disability equity </w:t>
      </w:r>
      <w:r w:rsidR="00743DE3">
        <w:rPr>
          <w:rFonts w:eastAsia="Times New Roman" w:cstheme="majorBidi"/>
        </w:rPr>
        <w:t xml:space="preserve">is a key objective and modality </w:t>
      </w:r>
      <w:r w:rsidR="00807B9F" w:rsidRPr="42D85238">
        <w:rPr>
          <w:rFonts w:eastAsia="Times New Roman" w:cstheme="majorBidi"/>
        </w:rPr>
        <w:t xml:space="preserve">within broad programs. </w:t>
      </w:r>
    </w:p>
    <w:p w14:paraId="42136EA4" w14:textId="6E12FF18" w:rsidR="00044F4E" w:rsidRPr="001B2307" w:rsidRDefault="00044F4E" w:rsidP="001B2307">
      <w:pPr>
        <w:pStyle w:val="Heading2"/>
        <w:rPr>
          <w:rStyle w:val="normaltextrun"/>
        </w:rPr>
      </w:pPr>
      <w:r w:rsidRPr="001B2307">
        <w:rPr>
          <w:rStyle w:val="normaltextrun"/>
        </w:rPr>
        <w:t>Summary of recommendations</w:t>
      </w:r>
    </w:p>
    <w:p w14:paraId="368A4E51" w14:textId="639F7B75" w:rsidR="00EB58E5" w:rsidRPr="001B2307" w:rsidRDefault="00B21636" w:rsidP="001B2307">
      <w:pPr>
        <w:pStyle w:val="Heading3"/>
        <w:rPr>
          <w:rStyle w:val="normaltextrun"/>
        </w:rPr>
      </w:pPr>
      <w:r w:rsidRPr="001B2307">
        <w:rPr>
          <w:rStyle w:val="normaltextrun"/>
        </w:rPr>
        <w:t>Resourcing d</w:t>
      </w:r>
      <w:r w:rsidR="00415F5A" w:rsidRPr="001B2307">
        <w:rPr>
          <w:rStyle w:val="normaltextrun"/>
        </w:rPr>
        <w:t xml:space="preserve">isability equity and rights </w:t>
      </w:r>
      <w:r w:rsidR="001C4D91" w:rsidRPr="001B2307">
        <w:rPr>
          <w:rStyle w:val="normaltextrun"/>
        </w:rPr>
        <w:t>in</w:t>
      </w:r>
      <w:r w:rsidR="00415F5A" w:rsidRPr="001B2307">
        <w:rPr>
          <w:rStyle w:val="normaltextrun"/>
        </w:rPr>
        <w:t xml:space="preserve"> Australia’s international development program</w:t>
      </w:r>
    </w:p>
    <w:p w14:paraId="35CEB899" w14:textId="5B5A9187" w:rsidR="00CE3DDD" w:rsidRPr="00A51626" w:rsidRDefault="00A51626" w:rsidP="42D85238">
      <w:pPr>
        <w:pStyle w:val="ListParagraph"/>
        <w:numPr>
          <w:ilvl w:val="0"/>
          <w:numId w:val="8"/>
        </w:numPr>
        <w:spacing w:after="160" w:line="276" w:lineRule="auto"/>
        <w:rPr>
          <w:rFonts w:eastAsia="Times New Roman" w:cstheme="majorBidi"/>
        </w:rPr>
      </w:pPr>
      <w:r w:rsidRPr="42D85238">
        <w:rPr>
          <w:rFonts w:eastAsia="Times New Roman" w:cstheme="majorBidi"/>
        </w:rPr>
        <w:t xml:space="preserve">Increase DFAT's central disability allocation by $7.1m in FY2024-25 to a minimum of $20m annually and increase in line with </w:t>
      </w:r>
      <w:r w:rsidR="006F52AC" w:rsidRPr="00CB35CE">
        <w:rPr>
          <w:rFonts w:eastAsia="Times New Roman" w:cstheme="majorBidi"/>
        </w:rPr>
        <w:t>year-on-year</w:t>
      </w:r>
      <w:r w:rsidRPr="00CB35CE">
        <w:rPr>
          <w:rFonts w:eastAsia="Times New Roman" w:cstheme="majorBidi"/>
        </w:rPr>
        <w:t xml:space="preserve"> ODA growth.</w:t>
      </w:r>
      <w:r w:rsidRPr="42D85238">
        <w:rPr>
          <w:rFonts w:eastAsia="Times New Roman" w:cstheme="majorBidi"/>
        </w:rPr>
        <w:t xml:space="preserve"> </w:t>
      </w:r>
    </w:p>
    <w:p w14:paraId="21C7407A" w14:textId="77777777" w:rsidR="006F52AC" w:rsidRDefault="00CE3DDD" w:rsidP="42D85238">
      <w:pPr>
        <w:pStyle w:val="ListParagraph"/>
        <w:numPr>
          <w:ilvl w:val="0"/>
          <w:numId w:val="8"/>
        </w:numPr>
        <w:spacing w:after="160" w:line="276" w:lineRule="auto"/>
        <w:rPr>
          <w:rFonts w:eastAsia="Times New Roman" w:cstheme="majorBidi"/>
        </w:rPr>
      </w:pPr>
      <w:r w:rsidRPr="42D85238">
        <w:rPr>
          <w:rFonts w:eastAsia="Times New Roman" w:cstheme="majorBidi"/>
        </w:rPr>
        <w:t xml:space="preserve">Establish a requirement that all new investments over $3m will have a disability equity objective, in line with existing requirements for climate change and gender equality.  </w:t>
      </w:r>
    </w:p>
    <w:p w14:paraId="5CEE1BAE" w14:textId="77777777" w:rsidR="006F52AC" w:rsidRDefault="006F52AC" w:rsidP="42D85238">
      <w:pPr>
        <w:pStyle w:val="ListParagraph"/>
        <w:numPr>
          <w:ilvl w:val="0"/>
          <w:numId w:val="8"/>
        </w:numPr>
        <w:spacing w:after="160" w:line="276" w:lineRule="auto"/>
        <w:rPr>
          <w:rFonts w:eastAsia="Times New Roman" w:cstheme="majorBidi"/>
        </w:rPr>
      </w:pPr>
      <w:r w:rsidRPr="42D85238">
        <w:rPr>
          <w:rFonts w:eastAsia="Times New Roman" w:cstheme="majorBidi"/>
        </w:rPr>
        <w:t xml:space="preserve">Set a 2030 target of 10 per cent of ODA being allocated to initiatives with disability equity as a principal objective, according to the DAC Disability policy marker. </w:t>
      </w:r>
    </w:p>
    <w:p w14:paraId="419D2E3A" w14:textId="70C5522A" w:rsidR="00CE3DDD" w:rsidRDefault="006F52AC" w:rsidP="42D85238">
      <w:pPr>
        <w:pStyle w:val="ListParagraph"/>
        <w:numPr>
          <w:ilvl w:val="0"/>
          <w:numId w:val="8"/>
        </w:numPr>
        <w:spacing w:after="160" w:line="276" w:lineRule="auto"/>
        <w:rPr>
          <w:rFonts w:eastAsia="Times New Roman" w:cstheme="majorBidi"/>
        </w:rPr>
      </w:pPr>
      <w:r w:rsidRPr="42D85238">
        <w:rPr>
          <w:rFonts w:eastAsia="Times New Roman" w:cstheme="majorBidi"/>
        </w:rPr>
        <w:t>Establish a target that 80 per cent of investments effectively address disability equity.</w:t>
      </w:r>
    </w:p>
    <w:p w14:paraId="424CF0AD" w14:textId="737C26D2" w:rsidR="00F46E44" w:rsidRDefault="00F46E44" w:rsidP="001B2307">
      <w:pPr>
        <w:pStyle w:val="Heading3"/>
      </w:pPr>
      <w:r w:rsidRPr="42D85238">
        <w:t>Stepping up in the Pacific</w:t>
      </w:r>
    </w:p>
    <w:p w14:paraId="2EF93774" w14:textId="26E82A40" w:rsidR="00063153" w:rsidRDefault="00063153" w:rsidP="42D85238">
      <w:pPr>
        <w:pStyle w:val="ListParagraph"/>
        <w:numPr>
          <w:ilvl w:val="0"/>
          <w:numId w:val="8"/>
        </w:numPr>
        <w:spacing w:after="160" w:line="276" w:lineRule="auto"/>
        <w:rPr>
          <w:rFonts w:eastAsia="Times New Roman" w:cstheme="majorBidi"/>
        </w:rPr>
      </w:pPr>
      <w:r w:rsidRPr="42D85238">
        <w:rPr>
          <w:rFonts w:eastAsia="Times New Roman" w:cstheme="majorBidi"/>
        </w:rPr>
        <w:t xml:space="preserve">Commit ongoing support to the Pacific Regional </w:t>
      </w:r>
      <w:r w:rsidR="00DD0A0B">
        <w:rPr>
          <w:rFonts w:eastAsia="Times New Roman" w:cstheme="majorBidi"/>
        </w:rPr>
        <w:t xml:space="preserve">Funding </w:t>
      </w:r>
      <w:r w:rsidR="00852193">
        <w:rPr>
          <w:rFonts w:eastAsia="Times New Roman" w:cstheme="majorBidi"/>
        </w:rPr>
        <w:t xml:space="preserve">Mechanism </w:t>
      </w:r>
      <w:r w:rsidRPr="42D85238">
        <w:rPr>
          <w:rFonts w:eastAsia="Times New Roman" w:cstheme="majorBidi"/>
        </w:rPr>
        <w:t xml:space="preserve">beyond the co-design phase, to accelerate the implementation of the </w:t>
      </w:r>
      <w:r w:rsidRPr="009518D3">
        <w:rPr>
          <w:rFonts w:eastAsia="Times New Roman" w:cstheme="majorBidi"/>
          <w:i/>
          <w:iCs/>
        </w:rPr>
        <w:t>Pacific Framework for the Rights of Persons with Disabilities 2016-20</w:t>
      </w:r>
      <w:r w:rsidRPr="00852193">
        <w:rPr>
          <w:rFonts w:eastAsia="Times New Roman" w:cstheme="majorBidi"/>
          <w:i/>
          <w:iCs/>
        </w:rPr>
        <w:t>25</w:t>
      </w:r>
      <w:r w:rsidRPr="42D85238">
        <w:rPr>
          <w:rFonts w:eastAsia="Times New Roman" w:cstheme="majorBidi"/>
        </w:rPr>
        <w:t xml:space="preserve">, including: </w:t>
      </w:r>
    </w:p>
    <w:p w14:paraId="206FF1AE" w14:textId="3652E9E6" w:rsidR="00411D9B" w:rsidRDefault="00063153" w:rsidP="42D85238">
      <w:pPr>
        <w:pStyle w:val="ListParagraph"/>
        <w:numPr>
          <w:ilvl w:val="1"/>
          <w:numId w:val="8"/>
        </w:numPr>
        <w:spacing w:after="160" w:line="276" w:lineRule="auto"/>
        <w:rPr>
          <w:rFonts w:eastAsia="Times New Roman" w:cstheme="majorBidi"/>
        </w:rPr>
      </w:pPr>
      <w:r w:rsidRPr="42D85238">
        <w:rPr>
          <w:rFonts w:eastAsia="Times New Roman" w:cstheme="majorBidi"/>
        </w:rPr>
        <w:t xml:space="preserve">Committing $40 million over four years from 2024-2025 to the Pacific Regional </w:t>
      </w:r>
      <w:r w:rsidR="00DD0A0B">
        <w:rPr>
          <w:rFonts w:eastAsia="Times New Roman" w:cstheme="majorBidi"/>
        </w:rPr>
        <w:t xml:space="preserve">Funding </w:t>
      </w:r>
      <w:r w:rsidR="00411D9B" w:rsidRPr="42D85238">
        <w:rPr>
          <w:rFonts w:eastAsia="Times New Roman" w:cstheme="majorBidi"/>
        </w:rPr>
        <w:t>Mechanism</w:t>
      </w:r>
    </w:p>
    <w:p w14:paraId="434A0AD1" w14:textId="3E7BCA9C" w:rsidR="00411D9B" w:rsidRDefault="00063153" w:rsidP="42D85238">
      <w:pPr>
        <w:pStyle w:val="ListParagraph"/>
        <w:numPr>
          <w:ilvl w:val="1"/>
          <w:numId w:val="8"/>
        </w:numPr>
        <w:spacing w:after="160" w:line="276" w:lineRule="auto"/>
        <w:rPr>
          <w:rFonts w:eastAsia="Times New Roman" w:cstheme="majorBidi"/>
        </w:rPr>
      </w:pPr>
      <w:r w:rsidRPr="42D85238">
        <w:rPr>
          <w:rFonts w:eastAsia="Times New Roman" w:cstheme="majorBidi"/>
        </w:rPr>
        <w:t xml:space="preserve">Actively engaging with likeminded donors to provide support through the </w:t>
      </w:r>
      <w:r w:rsidR="00852193">
        <w:rPr>
          <w:rFonts w:eastAsia="Times New Roman" w:cstheme="majorBidi"/>
        </w:rPr>
        <w:t>Mechanism</w:t>
      </w:r>
      <w:r w:rsidRPr="42D85238">
        <w:rPr>
          <w:rFonts w:eastAsia="Times New Roman" w:cstheme="majorBidi"/>
        </w:rPr>
        <w:t>.</w:t>
      </w:r>
    </w:p>
    <w:p w14:paraId="148B991C" w14:textId="77777777" w:rsidR="00E11757" w:rsidRPr="00333E25" w:rsidRDefault="00E11757" w:rsidP="00E11757">
      <w:pPr>
        <w:pStyle w:val="ListParagraph"/>
        <w:numPr>
          <w:ilvl w:val="0"/>
          <w:numId w:val="8"/>
        </w:numPr>
        <w:spacing w:after="160" w:line="276" w:lineRule="auto"/>
        <w:rPr>
          <w:rFonts w:eastAsia="Times New Roman" w:cstheme="majorBidi"/>
        </w:rPr>
      </w:pPr>
      <w:bookmarkStart w:id="0" w:name="_Hlk156287661"/>
      <w:r w:rsidRPr="00333E25">
        <w:rPr>
          <w:rFonts w:eastAsia="Times New Roman" w:cstheme="majorBidi"/>
        </w:rPr>
        <w:t xml:space="preserve">Given the urgency of the need, </w:t>
      </w:r>
      <w:r>
        <w:rPr>
          <w:rFonts w:eastAsia="Times New Roman" w:cstheme="majorBidi"/>
        </w:rPr>
        <w:t xml:space="preserve">allocate </w:t>
      </w:r>
      <w:r w:rsidRPr="00333E25">
        <w:rPr>
          <w:rFonts w:eastAsia="Times New Roman" w:cstheme="majorBidi"/>
        </w:rPr>
        <w:t>$12million over four years from 2024-25 to resource catalytic improvements in disability specific services, to be absorbed by the Pacific Regional Funding Mechanism when it is operational, including:  </w:t>
      </w:r>
    </w:p>
    <w:p w14:paraId="4A7D921A" w14:textId="77777777" w:rsidR="00E11757" w:rsidRPr="00333E25" w:rsidRDefault="00E11757" w:rsidP="00E11757">
      <w:pPr>
        <w:pStyle w:val="ListParagraph"/>
        <w:numPr>
          <w:ilvl w:val="1"/>
          <w:numId w:val="8"/>
        </w:numPr>
        <w:spacing w:after="160" w:line="276" w:lineRule="auto"/>
        <w:rPr>
          <w:rFonts w:eastAsia="Times New Roman" w:cstheme="majorBidi"/>
        </w:rPr>
      </w:pPr>
      <w:r w:rsidRPr="00333E25">
        <w:rPr>
          <w:rFonts w:eastAsia="Times New Roman" w:cstheme="majorBidi"/>
        </w:rPr>
        <w:t xml:space="preserve">The provision of appropriate, </w:t>
      </w:r>
      <w:proofErr w:type="gramStart"/>
      <w:r w:rsidRPr="00333E25">
        <w:rPr>
          <w:rFonts w:eastAsia="Times New Roman" w:cstheme="majorBidi"/>
        </w:rPr>
        <w:t>quality</w:t>
      </w:r>
      <w:proofErr w:type="gramEnd"/>
      <w:r w:rsidRPr="00333E25">
        <w:rPr>
          <w:rFonts w:eastAsia="Times New Roman" w:cstheme="majorBidi"/>
        </w:rPr>
        <w:t xml:space="preserve"> and affordable assistive technology across the region, working in partnership with Pacific disability led organisations and services.  </w:t>
      </w:r>
    </w:p>
    <w:p w14:paraId="4E5ABB7F" w14:textId="77777777" w:rsidR="00E11757" w:rsidRPr="00333E25" w:rsidRDefault="00E11757" w:rsidP="00E11757">
      <w:pPr>
        <w:pStyle w:val="ListParagraph"/>
        <w:numPr>
          <w:ilvl w:val="1"/>
          <w:numId w:val="8"/>
        </w:numPr>
        <w:spacing w:after="160" w:line="276" w:lineRule="auto"/>
        <w:rPr>
          <w:rFonts w:eastAsia="Times New Roman" w:cstheme="majorBidi"/>
        </w:rPr>
      </w:pPr>
      <w:r w:rsidRPr="00333E25">
        <w:rPr>
          <w:rFonts w:eastAsia="Times New Roman" w:cstheme="majorBidi"/>
        </w:rPr>
        <w:t>Recognising the extensive lack of support services in the Pacific region, commission: </w:t>
      </w:r>
    </w:p>
    <w:p w14:paraId="09D7DEFE" w14:textId="77777777" w:rsidR="00E11757" w:rsidRPr="00333E25" w:rsidRDefault="00E11757" w:rsidP="00E11757">
      <w:pPr>
        <w:pStyle w:val="ListParagraph"/>
        <w:numPr>
          <w:ilvl w:val="2"/>
          <w:numId w:val="8"/>
        </w:numPr>
        <w:spacing w:after="160" w:line="276" w:lineRule="auto"/>
        <w:rPr>
          <w:rFonts w:eastAsia="Times New Roman" w:cstheme="majorBidi"/>
        </w:rPr>
      </w:pPr>
      <w:r w:rsidRPr="00333E25">
        <w:rPr>
          <w:rFonts w:eastAsia="Times New Roman" w:cstheme="majorBidi"/>
        </w:rPr>
        <w:t>A regional situational analysis identifying what support services across the Pacific currently exist and what is needed to enable daily living and inclusion for people with disabilities, and provide recommendations to deliver the concrete, systemic changes required to progress this sector. </w:t>
      </w:r>
    </w:p>
    <w:p w14:paraId="3992604F" w14:textId="77777777" w:rsidR="00E11757" w:rsidRPr="00A27415" w:rsidRDefault="00E11757" w:rsidP="00E11757">
      <w:pPr>
        <w:pStyle w:val="ListParagraph"/>
        <w:numPr>
          <w:ilvl w:val="2"/>
          <w:numId w:val="8"/>
        </w:numPr>
        <w:spacing w:after="160" w:line="276" w:lineRule="auto"/>
        <w:rPr>
          <w:rFonts w:eastAsia="Times New Roman" w:cstheme="majorBidi"/>
        </w:rPr>
      </w:pPr>
      <w:r w:rsidRPr="00333E25">
        <w:rPr>
          <w:rFonts w:eastAsia="Times New Roman" w:cstheme="majorBidi"/>
        </w:rPr>
        <w:lastRenderedPageBreak/>
        <w:t>Three to four pilot programs that are scalable to implement the recommendations of the regional analysis and support the development of identified support services. </w:t>
      </w:r>
    </w:p>
    <w:bookmarkEnd w:id="0"/>
    <w:p w14:paraId="0FC9F2FD" w14:textId="2AFCAFF0" w:rsidR="00F46E44" w:rsidRDefault="007B6E46" w:rsidP="001B2307">
      <w:pPr>
        <w:pStyle w:val="Heading3"/>
      </w:pPr>
      <w:r w:rsidRPr="42D85238">
        <w:t xml:space="preserve">Australia’s </w:t>
      </w:r>
      <w:r w:rsidR="00F41FC8">
        <w:t>ODA</w:t>
      </w:r>
      <w:r w:rsidRPr="42D85238">
        <w:t xml:space="preserve"> budget</w:t>
      </w:r>
    </w:p>
    <w:p w14:paraId="4373D06E" w14:textId="1298A3AD" w:rsidR="00555AA9" w:rsidRPr="002C6EFD" w:rsidRDefault="003C5093" w:rsidP="42D85238">
      <w:pPr>
        <w:pStyle w:val="ListParagraph"/>
        <w:numPr>
          <w:ilvl w:val="0"/>
          <w:numId w:val="8"/>
        </w:numPr>
        <w:spacing w:after="160" w:line="276" w:lineRule="auto"/>
        <w:rPr>
          <w:rStyle w:val="eop"/>
          <w:rFonts w:eastAsia="Times New Roman" w:cstheme="majorBidi"/>
        </w:rPr>
      </w:pPr>
      <w:r w:rsidRPr="42D85238">
        <w:rPr>
          <w:rStyle w:val="normaltextrun"/>
          <w:color w:val="000000"/>
          <w:shd w:val="clear" w:color="auto" w:fill="FFFFFF"/>
        </w:rPr>
        <w:t>Establish a plan and pathway for Government to reach its commitment to increase ODA to 0.5% of GNI, including meeting the OECD DAC average of 0.36% by the end of 2027.</w:t>
      </w:r>
      <w:r w:rsidRPr="42D85238">
        <w:rPr>
          <w:rStyle w:val="eop"/>
          <w:color w:val="000000"/>
          <w:shd w:val="clear" w:color="auto" w:fill="FFFFFF"/>
        </w:rPr>
        <w:t> </w:t>
      </w:r>
    </w:p>
    <w:p w14:paraId="12464F44" w14:textId="42CE54FD" w:rsidR="006D4F92" w:rsidRPr="001B2307" w:rsidRDefault="006D4F92" w:rsidP="001B2307">
      <w:pPr>
        <w:pStyle w:val="Heading2"/>
        <w:rPr>
          <w:i/>
          <w:iCs/>
        </w:rPr>
      </w:pPr>
      <w:r w:rsidRPr="001B2307">
        <w:t>Resourcing disability equity and rights in Australia’s international development program</w:t>
      </w:r>
    </w:p>
    <w:p w14:paraId="5D61C192" w14:textId="283B1AD2" w:rsidR="00B96BBB" w:rsidRPr="0026445C" w:rsidRDefault="00B96BBB" w:rsidP="0026445C">
      <w:pPr>
        <w:pStyle w:val="paragraph"/>
        <w:spacing w:before="0" w:beforeAutospacing="0" w:after="0" w:afterAutospacing="0" w:line="276" w:lineRule="auto"/>
        <w:textAlignment w:val="baseline"/>
        <w:rPr>
          <w:rFonts w:ascii="Segoe UI" w:hAnsi="Segoe UI" w:cs="Segoe UI"/>
          <w:sz w:val="22"/>
          <w:szCs w:val="22"/>
        </w:rPr>
      </w:pPr>
      <w:r w:rsidRPr="0026445C">
        <w:rPr>
          <w:rStyle w:val="normaltextrun"/>
          <w:rFonts w:ascii="Calibri" w:eastAsiaTheme="majorEastAsia" w:hAnsi="Calibri" w:cs="Calibri"/>
          <w:color w:val="000000"/>
          <w:sz w:val="22"/>
          <w:szCs w:val="22"/>
          <w:shd w:val="clear" w:color="auto" w:fill="FFFFFF"/>
        </w:rPr>
        <w:t xml:space="preserve">Now, more than ever, it is critical for Australia to have an ambitious, </w:t>
      </w:r>
      <w:r w:rsidR="0026445C" w:rsidRPr="0026445C">
        <w:rPr>
          <w:rStyle w:val="normaltextrun"/>
          <w:rFonts w:ascii="Calibri" w:eastAsiaTheme="majorEastAsia" w:hAnsi="Calibri" w:cs="Calibri"/>
          <w:color w:val="000000"/>
          <w:sz w:val="22"/>
          <w:szCs w:val="22"/>
          <w:shd w:val="clear" w:color="auto" w:fill="FFFFFF"/>
        </w:rPr>
        <w:t>accountable,</w:t>
      </w:r>
      <w:r w:rsidRPr="0026445C">
        <w:rPr>
          <w:rStyle w:val="normaltextrun"/>
          <w:rFonts w:ascii="Calibri" w:eastAsiaTheme="majorEastAsia" w:hAnsi="Calibri" w:cs="Calibri"/>
          <w:color w:val="000000"/>
          <w:sz w:val="22"/>
          <w:szCs w:val="22"/>
          <w:shd w:val="clear" w:color="auto" w:fill="FFFFFF"/>
        </w:rPr>
        <w:t xml:space="preserve"> and resourced approach to disability equity and rights in their international efforts. ADDC welcomes the </w:t>
      </w:r>
      <w:r w:rsidR="0026445C" w:rsidRPr="0026445C">
        <w:rPr>
          <w:rStyle w:val="normaltextrun"/>
          <w:rFonts w:ascii="Calibri" w:eastAsiaTheme="majorEastAsia" w:hAnsi="Calibri" w:cs="Calibri"/>
          <w:color w:val="000000"/>
          <w:sz w:val="22"/>
          <w:szCs w:val="22"/>
          <w:shd w:val="clear" w:color="auto" w:fill="FFFFFF"/>
        </w:rPr>
        <w:t xml:space="preserve">elevation </w:t>
      </w:r>
      <w:r w:rsidR="00CA3990">
        <w:rPr>
          <w:rStyle w:val="normaltextrun"/>
          <w:rFonts w:ascii="Calibri" w:eastAsiaTheme="majorEastAsia" w:hAnsi="Calibri" w:cs="Calibri"/>
          <w:color w:val="000000"/>
          <w:sz w:val="22"/>
          <w:szCs w:val="22"/>
          <w:shd w:val="clear" w:color="auto" w:fill="FFFFFF"/>
        </w:rPr>
        <w:t xml:space="preserve">in 2023 </w:t>
      </w:r>
      <w:r w:rsidRPr="0026445C">
        <w:rPr>
          <w:rStyle w:val="normaltextrun"/>
          <w:rFonts w:ascii="Calibri" w:eastAsiaTheme="majorEastAsia" w:hAnsi="Calibri" w:cs="Calibri"/>
          <w:color w:val="000000"/>
          <w:sz w:val="22"/>
          <w:szCs w:val="22"/>
          <w:shd w:val="clear" w:color="auto" w:fill="FFFFFF"/>
        </w:rPr>
        <w:t>of disability equity as one of the three core areas of action for Australia’s international development program, alongside gender equality and climate change.</w:t>
      </w:r>
      <w:r w:rsidR="00793495">
        <w:rPr>
          <w:rStyle w:val="EndnoteReference"/>
          <w:rFonts w:ascii="Calibri" w:eastAsiaTheme="majorEastAsia" w:hAnsi="Calibri" w:cs="Calibri"/>
          <w:color w:val="000000"/>
          <w:sz w:val="22"/>
          <w:szCs w:val="22"/>
          <w:shd w:val="clear" w:color="auto" w:fill="FFFFFF"/>
        </w:rPr>
        <w:endnoteReference w:id="2"/>
      </w:r>
      <w:r w:rsidRPr="0026445C">
        <w:rPr>
          <w:rStyle w:val="normaltextrun"/>
          <w:rFonts w:ascii="Calibri" w:eastAsiaTheme="majorEastAsia" w:hAnsi="Calibri" w:cs="Calibri"/>
          <w:color w:val="000000"/>
          <w:sz w:val="22"/>
          <w:szCs w:val="22"/>
          <w:shd w:val="clear" w:color="auto" w:fill="FFFFFF"/>
        </w:rPr>
        <w:t xml:space="preserve"> As well as a commitment to being led by ‘the experiences and expertise of people with disabilities when designing and implementing development activities’.</w:t>
      </w:r>
      <w:r w:rsidR="00AA2D2D">
        <w:rPr>
          <w:rStyle w:val="EndnoteReference"/>
          <w:rFonts w:ascii="Calibri" w:eastAsiaTheme="majorEastAsia" w:hAnsi="Calibri" w:cs="Calibri"/>
          <w:color w:val="000000"/>
          <w:sz w:val="22"/>
          <w:szCs w:val="22"/>
          <w:shd w:val="clear" w:color="auto" w:fill="FFFFFF"/>
        </w:rPr>
        <w:endnoteReference w:id="3"/>
      </w:r>
      <w:r w:rsidR="00A36229">
        <w:rPr>
          <w:rStyle w:val="eop"/>
          <w:rFonts w:ascii="Calibri" w:hAnsi="Calibri" w:cs="Calibri"/>
          <w:color w:val="000000"/>
          <w:sz w:val="22"/>
          <w:szCs w:val="22"/>
        </w:rPr>
        <w:t xml:space="preserve"> </w:t>
      </w:r>
      <w:r w:rsidRPr="0026445C">
        <w:rPr>
          <w:rStyle w:val="normaltextrun"/>
          <w:rFonts w:ascii="Calibri" w:eastAsiaTheme="majorEastAsia" w:hAnsi="Calibri" w:cs="Calibri"/>
          <w:color w:val="000000"/>
          <w:sz w:val="22"/>
          <w:szCs w:val="22"/>
          <w:shd w:val="clear" w:color="auto" w:fill="FFFFFF"/>
        </w:rPr>
        <w:t xml:space="preserve">Over more than a decade Australia has played an important role leading the donor community and partnering with Organisations of People with Disabilities (OPDs) in advancing disability inclusion. </w:t>
      </w:r>
      <w:r w:rsidR="00A36229">
        <w:rPr>
          <w:rStyle w:val="eop"/>
          <w:rFonts w:ascii="Calibri" w:hAnsi="Calibri" w:cs="Calibri"/>
          <w:color w:val="000000"/>
          <w:sz w:val="22"/>
          <w:szCs w:val="22"/>
        </w:rPr>
        <w:t>Continuing in this</w:t>
      </w:r>
      <w:r w:rsidR="00EA3030">
        <w:rPr>
          <w:rStyle w:val="eop"/>
          <w:rFonts w:ascii="Calibri" w:hAnsi="Calibri" w:cs="Calibri"/>
          <w:color w:val="000000"/>
          <w:sz w:val="22"/>
          <w:szCs w:val="22"/>
        </w:rPr>
        <w:t xml:space="preserve"> approach</w:t>
      </w:r>
      <w:r w:rsidR="00A36229">
        <w:rPr>
          <w:rStyle w:val="eop"/>
          <w:rFonts w:ascii="Calibri" w:hAnsi="Calibri" w:cs="Calibri"/>
          <w:color w:val="000000"/>
          <w:sz w:val="22"/>
          <w:szCs w:val="22"/>
        </w:rPr>
        <w:t xml:space="preserve">, we </w:t>
      </w:r>
      <w:r w:rsidR="000A4FA4">
        <w:rPr>
          <w:rStyle w:val="eop"/>
          <w:rFonts w:ascii="Calibri" w:hAnsi="Calibri" w:cs="Calibri"/>
          <w:color w:val="000000"/>
          <w:sz w:val="22"/>
          <w:szCs w:val="22"/>
        </w:rPr>
        <w:t>welcome</w:t>
      </w:r>
      <w:r w:rsidR="00A36229">
        <w:rPr>
          <w:rStyle w:val="eop"/>
          <w:rFonts w:ascii="Calibri" w:hAnsi="Calibri" w:cs="Calibri"/>
          <w:color w:val="000000"/>
          <w:sz w:val="22"/>
          <w:szCs w:val="22"/>
        </w:rPr>
        <w:t xml:space="preserve"> DFAT’s comprehensive </w:t>
      </w:r>
      <w:r w:rsidR="00EA3030">
        <w:rPr>
          <w:rStyle w:val="eop"/>
          <w:rFonts w:ascii="Calibri" w:hAnsi="Calibri" w:cs="Calibri"/>
          <w:color w:val="000000"/>
          <w:sz w:val="22"/>
          <w:szCs w:val="22"/>
        </w:rPr>
        <w:t xml:space="preserve">consultations </w:t>
      </w:r>
      <w:r w:rsidR="00A36229">
        <w:rPr>
          <w:rStyle w:val="eop"/>
          <w:rFonts w:ascii="Calibri" w:hAnsi="Calibri" w:cs="Calibri"/>
          <w:color w:val="000000"/>
          <w:sz w:val="22"/>
          <w:szCs w:val="22"/>
        </w:rPr>
        <w:t xml:space="preserve">to listen and learn from people with disabilities across our region to inform the forthcoming International Disability Equity and Rights </w:t>
      </w:r>
      <w:r w:rsidR="00AA2D2D">
        <w:rPr>
          <w:rStyle w:val="eop"/>
          <w:rFonts w:ascii="Calibri" w:hAnsi="Calibri" w:cs="Calibri"/>
          <w:color w:val="000000"/>
          <w:sz w:val="22"/>
          <w:szCs w:val="22"/>
        </w:rPr>
        <w:t>S</w:t>
      </w:r>
      <w:r w:rsidR="00A36229">
        <w:rPr>
          <w:rStyle w:val="eop"/>
          <w:rFonts w:ascii="Calibri" w:hAnsi="Calibri" w:cs="Calibri"/>
          <w:color w:val="000000"/>
          <w:sz w:val="22"/>
          <w:szCs w:val="22"/>
        </w:rPr>
        <w:t>trategy</w:t>
      </w:r>
      <w:r w:rsidR="00AA2D2D">
        <w:rPr>
          <w:rStyle w:val="eop"/>
          <w:rFonts w:ascii="Calibri" w:hAnsi="Calibri" w:cs="Calibri"/>
          <w:color w:val="000000"/>
          <w:sz w:val="22"/>
          <w:szCs w:val="22"/>
        </w:rPr>
        <w:t xml:space="preserve"> (IDEARS)</w:t>
      </w:r>
      <w:r w:rsidR="00A36229">
        <w:rPr>
          <w:rStyle w:val="eop"/>
          <w:rFonts w:ascii="Calibri" w:hAnsi="Calibri" w:cs="Calibri"/>
          <w:color w:val="000000"/>
          <w:sz w:val="22"/>
          <w:szCs w:val="22"/>
        </w:rPr>
        <w:t>.</w:t>
      </w:r>
    </w:p>
    <w:p w14:paraId="76AEE023" w14:textId="77777777" w:rsidR="00FB5BD4" w:rsidRDefault="00FB5BD4" w:rsidP="00FB5BD4">
      <w:pPr>
        <w:spacing w:line="276" w:lineRule="auto"/>
        <w:rPr>
          <w:rStyle w:val="eop"/>
          <w:i/>
          <w:iCs/>
          <w:color w:val="000000"/>
        </w:rPr>
      </w:pPr>
    </w:p>
    <w:p w14:paraId="6DAFE47B" w14:textId="2EE7A2B1" w:rsidR="00194E7E" w:rsidRPr="00FB5BD4" w:rsidRDefault="00FB5BD4" w:rsidP="00FB5BD4">
      <w:pPr>
        <w:spacing w:after="160" w:line="276" w:lineRule="auto"/>
        <w:rPr>
          <w:rStyle w:val="eop"/>
          <w:color w:val="000000"/>
        </w:rPr>
      </w:pPr>
      <w:r w:rsidRPr="001B2307">
        <w:rPr>
          <w:rStyle w:val="Heading3Char"/>
        </w:rPr>
        <w:t>Central disability allocation</w:t>
      </w:r>
      <w:r w:rsidR="00416499">
        <w:rPr>
          <w:rStyle w:val="eop"/>
          <w:color w:val="000000"/>
        </w:rPr>
        <w:br/>
        <w:t>T</w:t>
      </w:r>
      <w:r w:rsidR="000B4097">
        <w:rPr>
          <w:rStyle w:val="eop"/>
          <w:color w:val="000000"/>
        </w:rPr>
        <w:t xml:space="preserve">o realise these commitments and for Australia to lead the donor community in disability equity, more resources are required starting from </w:t>
      </w:r>
      <w:r w:rsidR="00755CD3">
        <w:rPr>
          <w:rStyle w:val="eop"/>
          <w:color w:val="000000"/>
        </w:rPr>
        <w:t>the 2024-25 Federal Budget.</w:t>
      </w:r>
      <w:r w:rsidR="002B6971">
        <w:rPr>
          <w:rStyle w:val="eop"/>
          <w:color w:val="000000"/>
        </w:rPr>
        <w:t xml:space="preserve"> The central disability allocation is a modest budget line </w:t>
      </w:r>
      <w:r w:rsidR="005A0C49">
        <w:rPr>
          <w:rStyle w:val="eop"/>
          <w:color w:val="000000"/>
        </w:rPr>
        <w:t xml:space="preserve">within the ODA budget, </w:t>
      </w:r>
      <w:r w:rsidR="00416499">
        <w:rPr>
          <w:rStyle w:val="eop"/>
          <w:color w:val="000000"/>
        </w:rPr>
        <w:t>however, has been foundational to DFAT furthering disability equity for more than a decade.</w:t>
      </w:r>
      <w:r w:rsidR="005A0C49">
        <w:rPr>
          <w:rStyle w:val="eop"/>
          <w:color w:val="000000"/>
        </w:rPr>
        <w:t xml:space="preserve"> </w:t>
      </w:r>
      <w:r w:rsidR="00416499">
        <w:rPr>
          <w:rStyle w:val="eop"/>
          <w:color w:val="000000"/>
        </w:rPr>
        <w:t>T</w:t>
      </w:r>
      <w:r w:rsidR="005A0C49">
        <w:rPr>
          <w:rStyle w:val="eop"/>
          <w:color w:val="000000"/>
        </w:rPr>
        <w:t xml:space="preserve">he </w:t>
      </w:r>
      <w:r w:rsidR="005A0C49" w:rsidRPr="005A0C49">
        <w:rPr>
          <w:rStyle w:val="eop"/>
          <w:color w:val="000000"/>
        </w:rPr>
        <w:t xml:space="preserve">support, partnerships, technical </w:t>
      </w:r>
      <w:proofErr w:type="gramStart"/>
      <w:r w:rsidR="005A0C49" w:rsidRPr="005A0C49">
        <w:rPr>
          <w:rStyle w:val="eop"/>
          <w:color w:val="000000"/>
        </w:rPr>
        <w:t>expertise</w:t>
      </w:r>
      <w:proofErr w:type="gramEnd"/>
      <w:r w:rsidR="005A0C49" w:rsidRPr="005A0C49">
        <w:rPr>
          <w:rStyle w:val="eop"/>
          <w:color w:val="000000"/>
        </w:rPr>
        <w:t xml:space="preserve"> and global leadership this central allocation leverages are foundational to enabling DFAT to implement adequate disability </w:t>
      </w:r>
      <w:r w:rsidR="00416499">
        <w:rPr>
          <w:rStyle w:val="eop"/>
          <w:color w:val="000000"/>
        </w:rPr>
        <w:t xml:space="preserve">equity </w:t>
      </w:r>
      <w:r w:rsidR="005A0C49" w:rsidRPr="005A0C49">
        <w:rPr>
          <w:rStyle w:val="eop"/>
          <w:color w:val="000000"/>
        </w:rPr>
        <w:t>in its programming.</w:t>
      </w:r>
      <w:r w:rsidR="00962D9E">
        <w:rPr>
          <w:rStyle w:val="eop"/>
          <w:color w:val="000000"/>
        </w:rPr>
        <w:t xml:space="preserve"> </w:t>
      </w:r>
    </w:p>
    <w:p w14:paraId="7E7639F4" w14:textId="22BA4CD0" w:rsidR="00505016" w:rsidRDefault="00E844E9" w:rsidP="002C6EFD">
      <w:pPr>
        <w:spacing w:after="160" w:line="276" w:lineRule="auto"/>
        <w:rPr>
          <w:rFonts w:eastAsia="Times New Roman" w:cstheme="majorBidi"/>
        </w:rPr>
      </w:pPr>
      <w:r>
        <w:rPr>
          <w:rStyle w:val="eop"/>
          <w:color w:val="000000"/>
        </w:rPr>
        <w:t>T</w:t>
      </w:r>
      <w:r w:rsidRPr="00E844E9">
        <w:rPr>
          <w:rStyle w:val="eop"/>
          <w:color w:val="000000"/>
        </w:rPr>
        <w:t>he allocation ha</w:t>
      </w:r>
      <w:r w:rsidR="0038209B">
        <w:rPr>
          <w:rStyle w:val="eop"/>
          <w:color w:val="000000"/>
        </w:rPr>
        <w:t>d</w:t>
      </w:r>
      <w:r w:rsidRPr="00E844E9">
        <w:rPr>
          <w:rStyle w:val="eop"/>
          <w:color w:val="000000"/>
        </w:rPr>
        <w:t xml:space="preserve"> been frozen at $12.9m for at least a decade, prior to being cut in 2020-21 and then restored to $12.9m in the 2022-23 budget. As a result, the modest allocation is worth almost 20 percent less in 202</w:t>
      </w:r>
      <w:r w:rsidR="002207A0">
        <w:rPr>
          <w:rStyle w:val="eop"/>
          <w:color w:val="000000"/>
        </w:rPr>
        <w:t>4</w:t>
      </w:r>
      <w:r w:rsidRPr="00E844E9">
        <w:rPr>
          <w:rStyle w:val="eop"/>
          <w:color w:val="000000"/>
        </w:rPr>
        <w:t>-2</w:t>
      </w:r>
      <w:r w:rsidR="002207A0">
        <w:rPr>
          <w:rStyle w:val="eop"/>
          <w:color w:val="000000"/>
        </w:rPr>
        <w:t>5</w:t>
      </w:r>
      <w:r w:rsidRPr="00E844E9">
        <w:rPr>
          <w:rStyle w:val="eop"/>
          <w:color w:val="000000"/>
        </w:rPr>
        <w:t xml:space="preserve"> than it was in 2014-15, when adjusted for inflation. </w:t>
      </w:r>
      <w:r w:rsidR="002207A0">
        <w:rPr>
          <w:rStyle w:val="eop"/>
          <w:color w:val="000000"/>
        </w:rPr>
        <w:t xml:space="preserve">To drive disability equity effectively </w:t>
      </w:r>
      <w:r w:rsidR="00437310">
        <w:rPr>
          <w:rStyle w:val="eop"/>
          <w:color w:val="000000"/>
        </w:rPr>
        <w:t xml:space="preserve">this allocation needs to be increased in </w:t>
      </w:r>
      <w:r w:rsidR="00437310" w:rsidRPr="00437310">
        <w:rPr>
          <w:rStyle w:val="eop"/>
          <w:color w:val="000000"/>
        </w:rPr>
        <w:t>2024-25 to a minimum of $20m annually and increase in line with year-on-year ODA growth.</w:t>
      </w:r>
      <w:r w:rsidR="00437310">
        <w:rPr>
          <w:rStyle w:val="eop"/>
          <w:color w:val="000000"/>
        </w:rPr>
        <w:t xml:space="preserve"> </w:t>
      </w:r>
      <w:r w:rsidR="008F7B25">
        <w:rPr>
          <w:rStyle w:val="eop"/>
          <w:color w:val="000000"/>
        </w:rPr>
        <w:t xml:space="preserve">A small increase of </w:t>
      </w:r>
      <w:r w:rsidR="008F7B25" w:rsidRPr="42D85238">
        <w:rPr>
          <w:rFonts w:eastAsia="Times New Roman" w:cstheme="majorBidi"/>
        </w:rPr>
        <w:t>$7.1m in 2024-25</w:t>
      </w:r>
      <w:r w:rsidR="008F7B25">
        <w:rPr>
          <w:rFonts w:eastAsia="Times New Roman" w:cstheme="majorBidi"/>
        </w:rPr>
        <w:t xml:space="preserve"> would </w:t>
      </w:r>
      <w:r w:rsidR="00183675">
        <w:rPr>
          <w:rFonts w:eastAsia="Times New Roman" w:cstheme="majorBidi"/>
        </w:rPr>
        <w:t xml:space="preserve">fund </w:t>
      </w:r>
      <w:r w:rsidR="00AC41CC" w:rsidRPr="00AC41CC">
        <w:rPr>
          <w:rFonts w:eastAsia="Times New Roman" w:cstheme="majorBidi"/>
        </w:rPr>
        <w:t>catalytic investments in the Indo-Pacific region that will unlock capacity and capability across the disability movement and support both development programs and social systems throughout the region to progress toward disability equity</w:t>
      </w:r>
      <w:r w:rsidR="00D64EDB">
        <w:rPr>
          <w:rFonts w:eastAsia="Times New Roman" w:cstheme="majorBidi"/>
        </w:rPr>
        <w:t>.</w:t>
      </w:r>
    </w:p>
    <w:p w14:paraId="48770797" w14:textId="4F8948AE" w:rsidR="00505016" w:rsidRPr="00505016" w:rsidRDefault="004E1E4E" w:rsidP="008C63B4">
      <w:pPr>
        <w:spacing w:line="276" w:lineRule="auto"/>
        <w:rPr>
          <w:rFonts w:eastAsia="Times New Roman" w:cstheme="majorBidi"/>
        </w:rPr>
      </w:pPr>
      <w:r>
        <w:rPr>
          <w:rFonts w:eastAsia="Times New Roman" w:cstheme="majorBidi"/>
        </w:rPr>
        <w:t>At its heart, this</w:t>
      </w:r>
      <w:r w:rsidR="00505016">
        <w:rPr>
          <w:rFonts w:eastAsia="Times New Roman" w:cstheme="majorBidi"/>
        </w:rPr>
        <w:t xml:space="preserve"> increase in</w:t>
      </w:r>
      <w:r>
        <w:rPr>
          <w:rFonts w:eastAsia="Times New Roman" w:cstheme="majorBidi"/>
        </w:rPr>
        <w:t xml:space="preserve"> </w:t>
      </w:r>
      <w:r w:rsidR="008F7B25">
        <w:rPr>
          <w:rFonts w:eastAsia="Times New Roman" w:cstheme="majorBidi"/>
        </w:rPr>
        <w:t xml:space="preserve">funding </w:t>
      </w:r>
      <w:r w:rsidR="00505016">
        <w:rPr>
          <w:rFonts w:eastAsia="Times New Roman" w:cstheme="majorBidi"/>
        </w:rPr>
        <w:t>c</w:t>
      </w:r>
      <w:r>
        <w:rPr>
          <w:rFonts w:eastAsia="Times New Roman" w:cstheme="majorBidi"/>
        </w:rPr>
        <w:t xml:space="preserve">ould further </w:t>
      </w:r>
      <w:r w:rsidR="008F7B25">
        <w:rPr>
          <w:rFonts w:eastAsia="Times New Roman" w:cstheme="majorBidi"/>
        </w:rPr>
        <w:t>the leadership,</w:t>
      </w:r>
      <w:r w:rsidR="00936230">
        <w:rPr>
          <w:rFonts w:eastAsia="Times New Roman" w:cstheme="majorBidi"/>
        </w:rPr>
        <w:t xml:space="preserve"> strategic goals, and</w:t>
      </w:r>
      <w:r w:rsidR="008F7B25">
        <w:rPr>
          <w:rFonts w:eastAsia="Times New Roman" w:cstheme="majorBidi"/>
        </w:rPr>
        <w:t xml:space="preserve"> growth of OPDs across the regions</w:t>
      </w:r>
      <w:r>
        <w:rPr>
          <w:rFonts w:eastAsia="Times New Roman" w:cstheme="majorBidi"/>
        </w:rPr>
        <w:t xml:space="preserve">: </w:t>
      </w:r>
      <w:r w:rsidR="008F7B25">
        <w:rPr>
          <w:rFonts w:eastAsia="Times New Roman" w:cstheme="majorBidi"/>
        </w:rPr>
        <w:t xml:space="preserve">the powerhouses of the disability movement. </w:t>
      </w:r>
      <w:r w:rsidR="00FD096F">
        <w:rPr>
          <w:rFonts w:eastAsia="Times New Roman" w:cstheme="majorBidi"/>
        </w:rPr>
        <w:t xml:space="preserve">Growing the partnership and support </w:t>
      </w:r>
      <w:r w:rsidR="008C63B4">
        <w:rPr>
          <w:rFonts w:eastAsia="Times New Roman" w:cstheme="majorBidi"/>
        </w:rPr>
        <w:t>to OPDs could enable them</w:t>
      </w:r>
      <w:r w:rsidR="00505016" w:rsidRPr="00505016">
        <w:rPr>
          <w:rFonts w:eastAsia="Times New Roman" w:cstheme="majorBidi"/>
        </w:rPr>
        <w:t xml:space="preserve"> to pursue their priorities, to advocate and fulfil their duties as civil society organisations with the mandate to keep their governments to account and have greater influence in Australia’s International Development program. </w:t>
      </w:r>
      <w:r w:rsidR="008C63B4">
        <w:rPr>
          <w:rFonts w:eastAsia="Times New Roman" w:cstheme="majorBidi"/>
        </w:rPr>
        <w:t xml:space="preserve"> This could be a</w:t>
      </w:r>
      <w:r w:rsidR="00505016" w:rsidRPr="00505016">
        <w:rPr>
          <w:rFonts w:eastAsia="Times New Roman" w:cstheme="majorBidi"/>
        </w:rPr>
        <w:t>chieved through: </w:t>
      </w:r>
    </w:p>
    <w:p w14:paraId="196B02B3" w14:textId="77777777" w:rsidR="00505016" w:rsidRPr="00505016" w:rsidRDefault="00505016" w:rsidP="00505016">
      <w:pPr>
        <w:numPr>
          <w:ilvl w:val="0"/>
          <w:numId w:val="23"/>
        </w:numPr>
        <w:spacing w:line="276" w:lineRule="auto"/>
        <w:rPr>
          <w:rFonts w:eastAsia="Times New Roman" w:cstheme="majorBidi"/>
        </w:rPr>
      </w:pPr>
      <w:r w:rsidRPr="00505016">
        <w:rPr>
          <w:rFonts w:eastAsia="Times New Roman" w:cstheme="majorBidi"/>
        </w:rPr>
        <w:t>Prioritised engagement with and support to OPDs throughout the International Development program, via the central disability allocation, in bilateral portfolios and through individual investments. </w:t>
      </w:r>
    </w:p>
    <w:p w14:paraId="39535482" w14:textId="77777777" w:rsidR="00505016" w:rsidRPr="00505016" w:rsidRDefault="00505016" w:rsidP="00505016">
      <w:pPr>
        <w:numPr>
          <w:ilvl w:val="0"/>
          <w:numId w:val="23"/>
        </w:numPr>
        <w:spacing w:line="276" w:lineRule="auto"/>
        <w:rPr>
          <w:rFonts w:eastAsia="Times New Roman" w:cstheme="majorBidi"/>
        </w:rPr>
      </w:pPr>
      <w:r w:rsidRPr="00505016">
        <w:rPr>
          <w:rFonts w:eastAsia="Times New Roman" w:cstheme="majorBidi"/>
        </w:rPr>
        <w:t>Increased investment to provide predictable multi-year core budget support and capacity development for OPDs in the region, including increasing investment support to OPDs in Southeast Asia. </w:t>
      </w:r>
    </w:p>
    <w:p w14:paraId="4CDDE401" w14:textId="77777777" w:rsidR="00505016" w:rsidRPr="00505016" w:rsidRDefault="00505016" w:rsidP="00505016">
      <w:pPr>
        <w:numPr>
          <w:ilvl w:val="0"/>
          <w:numId w:val="23"/>
        </w:numPr>
        <w:spacing w:line="276" w:lineRule="auto"/>
        <w:rPr>
          <w:rFonts w:eastAsia="Times New Roman" w:cstheme="majorBidi"/>
        </w:rPr>
      </w:pPr>
      <w:r w:rsidRPr="00505016">
        <w:rPr>
          <w:rFonts w:eastAsia="Times New Roman" w:cstheme="majorBidi"/>
        </w:rPr>
        <w:lastRenderedPageBreak/>
        <w:t>Commitment to supporting the diversification of the movement through providing intentional, multi-year funding for under-represented and under-resourced groups to establish themselves and represent their constituencies.  </w:t>
      </w:r>
    </w:p>
    <w:p w14:paraId="7780DFF7" w14:textId="77777777" w:rsidR="00505016" w:rsidRPr="00505016" w:rsidRDefault="00505016" w:rsidP="00505016">
      <w:pPr>
        <w:numPr>
          <w:ilvl w:val="0"/>
          <w:numId w:val="23"/>
        </w:numPr>
        <w:spacing w:line="276" w:lineRule="auto"/>
        <w:rPr>
          <w:rFonts w:eastAsia="Times New Roman" w:cstheme="majorBidi"/>
        </w:rPr>
      </w:pPr>
      <w:r w:rsidRPr="00505016">
        <w:rPr>
          <w:rFonts w:eastAsia="Times New Roman" w:cstheme="majorBidi"/>
        </w:rPr>
        <w:t>A significant investment to scope and support the establishment of representation where none currently exists – including across geographies, types of disability and aspect of inclusion and equity being focused on. </w:t>
      </w:r>
    </w:p>
    <w:p w14:paraId="261CEC43" w14:textId="77777777" w:rsidR="00505016" w:rsidRPr="00505016" w:rsidRDefault="00505016" w:rsidP="00505016">
      <w:pPr>
        <w:numPr>
          <w:ilvl w:val="0"/>
          <w:numId w:val="23"/>
        </w:numPr>
        <w:spacing w:line="276" w:lineRule="auto"/>
        <w:rPr>
          <w:rFonts w:eastAsia="Times New Roman" w:cstheme="majorBidi"/>
        </w:rPr>
      </w:pPr>
      <w:r w:rsidRPr="00505016">
        <w:rPr>
          <w:rFonts w:eastAsia="Times New Roman" w:cstheme="majorBidi"/>
        </w:rPr>
        <w:t>Systematically investing in leadership development and peer collaboration and learning across the Indo-Pacific disability movement so the next generation of leaders have been supported to develop their skills and capacity and to connect with each other. Achieved through a comprehensive approach to leadership development, spearheaded by the Indo-Pacific Disability Equity Leadership Program. </w:t>
      </w:r>
    </w:p>
    <w:p w14:paraId="1484D67F" w14:textId="77777777" w:rsidR="00D0449D" w:rsidRDefault="00D0449D" w:rsidP="002C6EFD">
      <w:pPr>
        <w:spacing w:after="160" w:line="276" w:lineRule="auto"/>
        <w:rPr>
          <w:rFonts w:eastAsia="Times New Roman" w:cstheme="majorBidi"/>
        </w:rPr>
      </w:pPr>
    </w:p>
    <w:p w14:paraId="581AAE9C" w14:textId="54FEB216" w:rsidR="001124FD" w:rsidRPr="00DC1123" w:rsidRDefault="000118A0" w:rsidP="001B2307">
      <w:pPr>
        <w:pStyle w:val="Heading3"/>
      </w:pPr>
      <w:r w:rsidRPr="00DC1123">
        <w:t xml:space="preserve">Targets and </w:t>
      </w:r>
      <w:r w:rsidR="00824393">
        <w:t>budgetary inputs</w:t>
      </w:r>
    </w:p>
    <w:p w14:paraId="3BF84AAB" w14:textId="30E7A529" w:rsidR="004E1E4E" w:rsidRDefault="00194E7E" w:rsidP="00194E7E">
      <w:pPr>
        <w:spacing w:after="160" w:line="276" w:lineRule="auto"/>
        <w:rPr>
          <w:color w:val="000000"/>
        </w:rPr>
      </w:pPr>
      <w:r w:rsidRPr="00194E7E">
        <w:rPr>
          <w:color w:val="000000"/>
        </w:rPr>
        <w:t>As the needs of people with disabilities in our region increase, and the move toward equity over</w:t>
      </w:r>
      <w:r w:rsidR="001124FD">
        <w:rPr>
          <w:color w:val="000000"/>
        </w:rPr>
        <w:t xml:space="preserve"> </w:t>
      </w:r>
      <w:r w:rsidRPr="00194E7E">
        <w:rPr>
          <w:color w:val="000000"/>
        </w:rPr>
        <w:t>tick box inclusion grows, we must go beyond commitments and pockets of good practice, and</w:t>
      </w:r>
      <w:r w:rsidR="001124FD">
        <w:rPr>
          <w:color w:val="000000"/>
        </w:rPr>
        <w:t xml:space="preserve"> </w:t>
      </w:r>
      <w:r w:rsidRPr="00194E7E">
        <w:rPr>
          <w:color w:val="000000"/>
        </w:rPr>
        <w:t>resource ambitious approaches in line with the disability movement’s priorities that will shift the</w:t>
      </w:r>
      <w:r w:rsidR="001124FD">
        <w:rPr>
          <w:color w:val="000000"/>
        </w:rPr>
        <w:t xml:space="preserve"> </w:t>
      </w:r>
      <w:r w:rsidRPr="00194E7E">
        <w:rPr>
          <w:color w:val="000000"/>
        </w:rPr>
        <w:t>dial toward disability equity and rights in our region. Meaningful action on disability equity, particularly where it intersects with gender equality and</w:t>
      </w:r>
      <w:r w:rsidR="001124FD">
        <w:rPr>
          <w:color w:val="000000"/>
        </w:rPr>
        <w:t xml:space="preserve"> </w:t>
      </w:r>
      <w:r w:rsidRPr="00194E7E">
        <w:rPr>
          <w:color w:val="000000"/>
        </w:rPr>
        <w:t>other inequalities, will ensure Australia's development efforts reach those experiencing the most</w:t>
      </w:r>
      <w:r w:rsidR="001124FD">
        <w:rPr>
          <w:color w:val="000000"/>
        </w:rPr>
        <w:t xml:space="preserve"> </w:t>
      </w:r>
      <w:r w:rsidRPr="00194E7E">
        <w:rPr>
          <w:color w:val="000000"/>
        </w:rPr>
        <w:t>acute forms of poverty within our region and globally. Mandatory requirements, targets and</w:t>
      </w:r>
      <w:r w:rsidR="001124FD">
        <w:rPr>
          <w:color w:val="000000"/>
        </w:rPr>
        <w:t xml:space="preserve"> </w:t>
      </w:r>
      <w:r w:rsidRPr="00194E7E">
        <w:rPr>
          <w:color w:val="000000"/>
        </w:rPr>
        <w:t>resourcing are essential to making this a reality, working in complement together.</w:t>
      </w:r>
    </w:p>
    <w:p w14:paraId="38962A72" w14:textId="5F2867FA" w:rsidR="00F70EDF" w:rsidRPr="00AB5451" w:rsidRDefault="00DC1123" w:rsidP="002C6EFD">
      <w:pPr>
        <w:spacing w:after="160" w:line="276" w:lineRule="auto"/>
        <w:rPr>
          <w:rStyle w:val="eop"/>
          <w:color w:val="000000"/>
        </w:rPr>
      </w:pPr>
      <w:r>
        <w:rPr>
          <w:color w:val="000000"/>
        </w:rPr>
        <w:t xml:space="preserve">The </w:t>
      </w:r>
      <w:r w:rsidRPr="008F08CA">
        <w:rPr>
          <w:i/>
          <w:iCs/>
        </w:rPr>
        <w:t>Joint call for action on disability equity and rights in Australia’s International Development progr</w:t>
      </w:r>
      <w:r w:rsidR="008F08CA">
        <w:rPr>
          <w:i/>
          <w:iCs/>
        </w:rPr>
        <w:t>am</w:t>
      </w:r>
      <w:r w:rsidR="00F6397E" w:rsidRPr="00F6397E">
        <w:rPr>
          <w:rStyle w:val="EndnoteReference"/>
        </w:rPr>
        <w:endnoteReference w:id="4"/>
      </w:r>
      <w:r w:rsidRPr="00F6397E">
        <w:t xml:space="preserve"> </w:t>
      </w:r>
      <w:r w:rsidR="005E50E4">
        <w:rPr>
          <w:color w:val="000000"/>
        </w:rPr>
        <w:t xml:space="preserve">is supported by 35 organisations and networks across the Australian development and </w:t>
      </w:r>
      <w:r w:rsidR="000461FE">
        <w:rPr>
          <w:color w:val="000000"/>
        </w:rPr>
        <w:t xml:space="preserve">disability sectors. </w:t>
      </w:r>
      <w:r w:rsidR="00EB627C">
        <w:rPr>
          <w:color w:val="000000"/>
        </w:rPr>
        <w:t xml:space="preserve">The </w:t>
      </w:r>
      <w:r w:rsidR="00E01CD9">
        <w:rPr>
          <w:color w:val="000000"/>
        </w:rPr>
        <w:t>collective is seeking the Australian Government to commitment to</w:t>
      </w:r>
      <w:r w:rsidR="004A499E">
        <w:rPr>
          <w:color w:val="000000"/>
        </w:rPr>
        <w:t xml:space="preserve"> a</w:t>
      </w:r>
      <w:r w:rsidR="00E01CD9" w:rsidRPr="00293F67">
        <w:rPr>
          <w:color w:val="000000"/>
        </w:rPr>
        <w:t xml:space="preserve">n ambitious approach to disability equity that sets a target of 10 per cent of ODA being allocated to </w:t>
      </w:r>
      <w:r w:rsidR="00E01CD9" w:rsidRPr="00293F67">
        <w:rPr>
          <w:rFonts w:eastAsia="Times New Roman" w:cstheme="majorBidi"/>
        </w:rPr>
        <w:t>initiatives with disability equity as a principal objective, according to the DAC Disability policy marker, by 2030.</w:t>
      </w:r>
      <w:r w:rsidR="004A499E">
        <w:rPr>
          <w:rFonts w:eastAsia="Times New Roman" w:cstheme="majorBidi"/>
        </w:rPr>
        <w:t xml:space="preserve"> And commit to an accountable </w:t>
      </w:r>
      <w:r w:rsidR="00293F67">
        <w:rPr>
          <w:rFonts w:eastAsia="Times New Roman" w:cstheme="majorBidi"/>
        </w:rPr>
        <w:t xml:space="preserve">approach to disability equity </w:t>
      </w:r>
      <w:r w:rsidR="004A499E">
        <w:rPr>
          <w:rFonts w:eastAsia="Times New Roman" w:cstheme="majorBidi"/>
        </w:rPr>
        <w:t>that</w:t>
      </w:r>
      <w:r w:rsidR="00A83F17">
        <w:rPr>
          <w:rFonts w:eastAsia="Times New Roman" w:cstheme="majorBidi"/>
        </w:rPr>
        <w:t xml:space="preserve"> requires all new investments over $3m to have a disability equity objective, </w:t>
      </w:r>
      <w:r w:rsidR="00AB5451">
        <w:rPr>
          <w:rFonts w:eastAsia="Times New Roman" w:cstheme="majorBidi"/>
        </w:rPr>
        <w:t>in line</w:t>
      </w:r>
      <w:r w:rsidR="00A83F17">
        <w:rPr>
          <w:rFonts w:eastAsia="Times New Roman" w:cstheme="majorBidi"/>
        </w:rPr>
        <w:t xml:space="preserve"> with commitments to climate change and gender equality, the international developments other two core areas of action. These commitments would see year-on-year allocation of the necessary resources to meet Australia’s commitment to disability equity and rights, and most importantly, seek to transform </w:t>
      </w:r>
      <w:r w:rsidR="00AB5451">
        <w:rPr>
          <w:rFonts w:eastAsia="Times New Roman" w:cstheme="majorBidi"/>
        </w:rPr>
        <w:t>the systematic discrimination and marginalization people with disabilities across our region navigate.</w:t>
      </w:r>
    </w:p>
    <w:p w14:paraId="04C9F9C6" w14:textId="2FA70B09" w:rsidR="00F70EDF" w:rsidRPr="001B2307" w:rsidRDefault="00F70EDF" w:rsidP="001B2307">
      <w:pPr>
        <w:pStyle w:val="Heading4"/>
        <w:rPr>
          <w:rStyle w:val="eop"/>
        </w:rPr>
      </w:pPr>
      <w:r w:rsidRPr="001B2307">
        <w:rPr>
          <w:rStyle w:val="normaltextrun"/>
        </w:rPr>
        <w:t>Recommendations</w:t>
      </w:r>
    </w:p>
    <w:p w14:paraId="06D4D773" w14:textId="77777777" w:rsidR="002B6971" w:rsidRPr="00A51626" w:rsidRDefault="002B6971" w:rsidP="002B6971">
      <w:pPr>
        <w:pStyle w:val="ListParagraph"/>
        <w:numPr>
          <w:ilvl w:val="0"/>
          <w:numId w:val="9"/>
        </w:numPr>
        <w:spacing w:after="160" w:line="276" w:lineRule="auto"/>
        <w:rPr>
          <w:rFonts w:eastAsia="Times New Roman" w:cstheme="majorBidi"/>
        </w:rPr>
      </w:pPr>
      <w:r w:rsidRPr="42D85238">
        <w:rPr>
          <w:rFonts w:eastAsia="Times New Roman" w:cstheme="majorBidi"/>
        </w:rPr>
        <w:t xml:space="preserve">Increase DFAT's central disability allocation by $7.1m in FY2024-25 to a minimum of $20m annually and increase in line with </w:t>
      </w:r>
      <w:r w:rsidRPr="00E01CD9">
        <w:rPr>
          <w:rFonts w:eastAsia="Times New Roman" w:cstheme="majorBidi"/>
        </w:rPr>
        <w:t>year-on-year ODA growth.</w:t>
      </w:r>
      <w:r w:rsidRPr="42D85238">
        <w:rPr>
          <w:rFonts w:eastAsia="Times New Roman" w:cstheme="majorBidi"/>
        </w:rPr>
        <w:t xml:space="preserve"> </w:t>
      </w:r>
    </w:p>
    <w:p w14:paraId="2E59FDF7" w14:textId="77777777" w:rsidR="002B6971" w:rsidRDefault="002B6971" w:rsidP="002B6971">
      <w:pPr>
        <w:pStyle w:val="ListParagraph"/>
        <w:numPr>
          <w:ilvl w:val="0"/>
          <w:numId w:val="9"/>
        </w:numPr>
        <w:spacing w:after="160" w:line="276" w:lineRule="auto"/>
        <w:rPr>
          <w:rFonts w:eastAsia="Times New Roman" w:cstheme="majorBidi"/>
        </w:rPr>
      </w:pPr>
      <w:r w:rsidRPr="42D85238">
        <w:rPr>
          <w:rFonts w:eastAsia="Times New Roman" w:cstheme="majorBidi"/>
        </w:rPr>
        <w:t xml:space="preserve">Establish a requirement that all new investments over $3m will have a disability equity objective, in line with existing requirements for climate change and gender equality.  </w:t>
      </w:r>
    </w:p>
    <w:p w14:paraId="4D70C67E" w14:textId="77777777" w:rsidR="002B6971" w:rsidRDefault="002B6971" w:rsidP="002B6971">
      <w:pPr>
        <w:pStyle w:val="ListParagraph"/>
        <w:numPr>
          <w:ilvl w:val="0"/>
          <w:numId w:val="9"/>
        </w:numPr>
        <w:spacing w:after="160" w:line="276" w:lineRule="auto"/>
        <w:rPr>
          <w:rFonts w:eastAsia="Times New Roman" w:cstheme="majorBidi"/>
        </w:rPr>
      </w:pPr>
      <w:r w:rsidRPr="42D85238">
        <w:rPr>
          <w:rFonts w:eastAsia="Times New Roman" w:cstheme="majorBidi"/>
        </w:rPr>
        <w:t xml:space="preserve">Set a 2030 target of 10 per cent of ODA being allocated to initiatives with disability equity as a principal objective, according to the DAC Disability policy marker. </w:t>
      </w:r>
    </w:p>
    <w:p w14:paraId="6CCD4B61" w14:textId="011C8E7A" w:rsidR="00F70EDF" w:rsidRPr="00824393" w:rsidRDefault="002B6971" w:rsidP="002C6EFD">
      <w:pPr>
        <w:pStyle w:val="ListParagraph"/>
        <w:numPr>
          <w:ilvl w:val="0"/>
          <w:numId w:val="9"/>
        </w:numPr>
        <w:spacing w:after="160" w:line="276" w:lineRule="auto"/>
        <w:rPr>
          <w:rStyle w:val="eop"/>
          <w:rFonts w:eastAsia="Times New Roman" w:cstheme="majorBidi"/>
        </w:rPr>
      </w:pPr>
      <w:r w:rsidRPr="42D85238">
        <w:rPr>
          <w:rFonts w:eastAsia="Times New Roman" w:cstheme="majorBidi"/>
        </w:rPr>
        <w:t>Establish a target that 80 per cent of investments effectively address disability equity.</w:t>
      </w:r>
    </w:p>
    <w:p w14:paraId="5336E408" w14:textId="77777777" w:rsidR="00062255" w:rsidRPr="001B2307" w:rsidRDefault="00062255" w:rsidP="00441AC3">
      <w:pPr>
        <w:spacing w:line="276" w:lineRule="auto"/>
        <w:rPr>
          <w:b/>
          <w:bCs/>
          <w:color w:val="167A8C"/>
          <w:sz w:val="26"/>
          <w:szCs w:val="26"/>
          <w:shd w:val="clear" w:color="auto" w:fill="FFFFFF"/>
        </w:rPr>
      </w:pPr>
    </w:p>
    <w:p w14:paraId="39FF40CC" w14:textId="3E656740" w:rsidR="006D4F92" w:rsidRPr="001B2307" w:rsidRDefault="006D4F92" w:rsidP="001B2307">
      <w:pPr>
        <w:pStyle w:val="Heading2"/>
        <w:rPr>
          <w:i/>
          <w:iCs/>
        </w:rPr>
      </w:pPr>
      <w:r w:rsidRPr="001B2307">
        <w:t>Stepping up in the Pacific</w:t>
      </w:r>
    </w:p>
    <w:p w14:paraId="6CDADB6B" w14:textId="578D5A07" w:rsidR="00441AC3" w:rsidRDefault="00543FDF" w:rsidP="00441AC3">
      <w:pPr>
        <w:spacing w:after="240" w:line="276" w:lineRule="auto"/>
        <w:rPr>
          <w:rStyle w:val="eop"/>
          <w:rFonts w:eastAsia="Times New Roman" w:cstheme="majorBidi"/>
        </w:rPr>
      </w:pPr>
      <w:r w:rsidRPr="00543FDF">
        <w:rPr>
          <w:rStyle w:val="eop"/>
          <w:rFonts w:eastAsia="Times New Roman" w:cstheme="majorBidi"/>
        </w:rPr>
        <w:t xml:space="preserve">Pacific states have established solid foundations for disability inclusive development in the region. The Pacific Island Forum’s (PIF) </w:t>
      </w:r>
      <w:r w:rsidRPr="004F7B48">
        <w:rPr>
          <w:rStyle w:val="eop"/>
          <w:rFonts w:eastAsia="Times New Roman" w:cstheme="majorBidi"/>
          <w:i/>
          <w:iCs/>
        </w:rPr>
        <w:t>Pacific Framework for the Rights of Persons with Disabilities 2016-2025</w:t>
      </w:r>
      <w:r w:rsidRPr="00543FDF">
        <w:rPr>
          <w:rStyle w:val="eop"/>
          <w:rFonts w:eastAsia="Times New Roman" w:cstheme="majorBidi"/>
        </w:rPr>
        <w:t xml:space="preserve"> provides a </w:t>
      </w:r>
      <w:r w:rsidRPr="00543FDF">
        <w:rPr>
          <w:rStyle w:val="eop"/>
          <w:rFonts w:eastAsia="Times New Roman" w:cstheme="majorBidi"/>
        </w:rPr>
        <w:lastRenderedPageBreak/>
        <w:t>regional framework to strengthen the coordination of national initiatives for disability rights and amplify support for Pacific governments to fulfil the rights of people with disabilities. </w:t>
      </w:r>
    </w:p>
    <w:p w14:paraId="417B0B56" w14:textId="2ABFB59F" w:rsidR="00446812" w:rsidRPr="00441AC3" w:rsidRDefault="008B0D4A" w:rsidP="00441AC3">
      <w:pPr>
        <w:spacing w:after="240" w:line="276" w:lineRule="auto"/>
        <w:rPr>
          <w:rStyle w:val="eop"/>
          <w:rFonts w:eastAsia="Times New Roman" w:cstheme="majorBidi"/>
        </w:rPr>
      </w:pPr>
      <w:r w:rsidRPr="008B0D4A">
        <w:rPr>
          <w:rFonts w:eastAsia="Times New Roman" w:cstheme="majorBidi"/>
        </w:rPr>
        <w:t xml:space="preserve">The Pacific Regional Funding </w:t>
      </w:r>
      <w:r>
        <w:rPr>
          <w:rFonts w:eastAsia="Times New Roman" w:cstheme="majorBidi"/>
        </w:rPr>
        <w:t>Mechanism</w:t>
      </w:r>
      <w:r w:rsidRPr="008B0D4A">
        <w:rPr>
          <w:rFonts w:eastAsia="Times New Roman" w:cstheme="majorBidi"/>
        </w:rPr>
        <w:t xml:space="preserve"> is envisaged as a multi-donor platform to spark action and collaboration from global actors to network, share resources, research, harness collective resource and leverage each other for the purpose of more effective and scaled action on disability equity and rights</w:t>
      </w:r>
      <w:r>
        <w:rPr>
          <w:rFonts w:eastAsia="Times New Roman" w:cstheme="majorBidi"/>
        </w:rPr>
        <w:t>.</w:t>
      </w:r>
      <w:r w:rsidR="00062255">
        <w:rPr>
          <w:rStyle w:val="EndnoteReference"/>
          <w:rFonts w:eastAsia="Times New Roman" w:cstheme="majorBidi"/>
        </w:rPr>
        <w:endnoteReference w:id="5"/>
      </w:r>
      <w:r>
        <w:rPr>
          <w:rFonts w:eastAsia="Times New Roman" w:cstheme="majorBidi"/>
        </w:rPr>
        <w:t xml:space="preserve"> </w:t>
      </w:r>
      <w:r w:rsidRPr="008B0D4A">
        <w:rPr>
          <w:rFonts w:eastAsia="Times New Roman" w:cstheme="majorBidi"/>
        </w:rPr>
        <w:t>The Mechanism is a key to unlocking progress toward the 2050 Strategy</w:t>
      </w:r>
      <w:r w:rsidR="004E0DC5">
        <w:rPr>
          <w:rFonts w:eastAsia="Times New Roman" w:cstheme="majorBidi"/>
        </w:rPr>
        <w:t xml:space="preserve"> for the Blue Pacific Continent</w:t>
      </w:r>
      <w:r w:rsidRPr="008B0D4A">
        <w:rPr>
          <w:rFonts w:eastAsia="Times New Roman" w:cstheme="majorBidi"/>
        </w:rPr>
        <w:t>, the Agenda 2030 and Australia’s development objectives.  </w:t>
      </w:r>
    </w:p>
    <w:p w14:paraId="7DB52E57" w14:textId="77777777" w:rsidR="00062255" w:rsidRDefault="00062255" w:rsidP="00AE2EA1">
      <w:pPr>
        <w:spacing w:line="276" w:lineRule="auto"/>
        <w:rPr>
          <w:rStyle w:val="eop"/>
          <w:rFonts w:eastAsia="Times New Roman" w:cstheme="majorBidi"/>
          <w:i/>
          <w:iCs/>
        </w:rPr>
      </w:pPr>
    </w:p>
    <w:p w14:paraId="4CFF8A14" w14:textId="7BD6E251" w:rsidR="00AE2EA1" w:rsidRPr="00594E65" w:rsidRDefault="00AE2EA1" w:rsidP="001B2307">
      <w:pPr>
        <w:pStyle w:val="Heading3"/>
        <w:rPr>
          <w:rStyle w:val="eop"/>
          <w:rFonts w:eastAsia="Times New Roman" w:cstheme="majorBidi"/>
          <w:i w:val="0"/>
          <w:iCs w:val="0"/>
        </w:rPr>
      </w:pPr>
      <w:r w:rsidRPr="00594E65">
        <w:rPr>
          <w:rStyle w:val="eop"/>
          <w:rFonts w:eastAsia="Times New Roman" w:cstheme="majorBidi"/>
        </w:rPr>
        <w:t>Assistive technology</w:t>
      </w:r>
      <w:r>
        <w:rPr>
          <w:rStyle w:val="eop"/>
          <w:rFonts w:eastAsia="Times New Roman" w:cstheme="majorBidi"/>
        </w:rPr>
        <w:t xml:space="preserve"> and support services</w:t>
      </w:r>
    </w:p>
    <w:p w14:paraId="5DA8BF32" w14:textId="0A2C801D" w:rsidR="00D6622E" w:rsidRDefault="009A3E9B" w:rsidP="002C6EFD">
      <w:pPr>
        <w:spacing w:after="160" w:line="276" w:lineRule="auto"/>
        <w:rPr>
          <w:rStyle w:val="eop"/>
          <w:rFonts w:eastAsia="Times New Roman" w:cstheme="majorBidi"/>
        </w:rPr>
      </w:pPr>
      <w:r>
        <w:rPr>
          <w:rStyle w:val="normaltextrun"/>
          <w:color w:val="000000"/>
          <w:shd w:val="clear" w:color="auto" w:fill="FFFFFF"/>
        </w:rPr>
        <w:t xml:space="preserve">Fundamental to achieving disability equity through DFAT’s work is recognising and explicitly addressing the particular and wide-ranging barriers that people with disabilities face in participating in society, including in development efforts. They are often defined as </w:t>
      </w:r>
      <w:r w:rsidRPr="009A3E9B">
        <w:rPr>
          <w:rStyle w:val="normaltextrun"/>
          <w:color w:val="000000"/>
          <w:shd w:val="clear" w:color="auto" w:fill="FFFFFF"/>
        </w:rPr>
        <w:t>‘pre-conditions to inclusion’</w:t>
      </w:r>
      <w:r>
        <w:rPr>
          <w:rStyle w:val="normaltextrun"/>
          <w:color w:val="000000"/>
          <w:shd w:val="clear" w:color="auto" w:fill="FFFFFF"/>
        </w:rPr>
        <w:t xml:space="preserve"> and should be proactively considered and addressed in both disability-focused and mainstream activities. </w:t>
      </w:r>
      <w:r w:rsidR="00227235">
        <w:rPr>
          <w:rStyle w:val="eop"/>
          <w:color w:val="000000"/>
          <w:shd w:val="clear" w:color="auto" w:fill="FFFFFF"/>
        </w:rPr>
        <w:t xml:space="preserve">One vital area of the preconditions is </w:t>
      </w:r>
      <w:r w:rsidR="00A86C56">
        <w:rPr>
          <w:rStyle w:val="normaltextrun"/>
          <w:color w:val="000000"/>
          <w:shd w:val="clear" w:color="auto" w:fill="FFFFFF"/>
        </w:rPr>
        <w:t>t</w:t>
      </w:r>
      <w:r w:rsidR="00227235">
        <w:rPr>
          <w:rStyle w:val="normaltextrun"/>
          <w:color w:val="000000"/>
          <w:shd w:val="clear" w:color="auto" w:fill="FFFFFF"/>
        </w:rPr>
        <w:t>he availability of affordable and appropriate assistive technology and support services that are required for people with disabilities to be able to fully access and benefit from policies and programs on an equal basis with others</w:t>
      </w:r>
      <w:r w:rsidR="00AE2EA1">
        <w:rPr>
          <w:rStyle w:val="normaltextrun"/>
          <w:color w:val="000000"/>
          <w:shd w:val="clear" w:color="auto" w:fill="FFFFFF"/>
        </w:rPr>
        <w:t>.</w:t>
      </w:r>
      <w:r w:rsidR="00AE2EA1">
        <w:rPr>
          <w:rStyle w:val="EndnoteReference"/>
          <w:color w:val="000000"/>
          <w:shd w:val="clear" w:color="auto" w:fill="FFFFFF"/>
        </w:rPr>
        <w:endnoteReference w:id="6"/>
      </w:r>
    </w:p>
    <w:p w14:paraId="053E57C3" w14:textId="5E39EB79" w:rsidR="00041121" w:rsidRPr="00041121" w:rsidRDefault="00594E65" w:rsidP="00223103">
      <w:pPr>
        <w:spacing w:line="276" w:lineRule="auto"/>
        <w:rPr>
          <w:rFonts w:eastAsia="Times New Roman" w:cstheme="majorBidi"/>
        </w:rPr>
      </w:pPr>
      <w:r>
        <w:rPr>
          <w:rStyle w:val="eop"/>
          <w:rFonts w:eastAsia="Times New Roman" w:cstheme="majorBidi"/>
        </w:rPr>
        <w:t>Assistive technology (AT) is a</w:t>
      </w:r>
      <w:r w:rsidR="00446812">
        <w:rPr>
          <w:rStyle w:val="eop"/>
          <w:rFonts w:eastAsia="Times New Roman" w:cstheme="majorBidi"/>
        </w:rPr>
        <w:t>n</w:t>
      </w:r>
      <w:r>
        <w:rPr>
          <w:rStyle w:val="eop"/>
          <w:rFonts w:eastAsia="Times New Roman" w:cstheme="majorBidi"/>
        </w:rPr>
        <w:t xml:space="preserve"> </w:t>
      </w:r>
      <w:r w:rsidR="00D1372A">
        <w:rPr>
          <w:rStyle w:val="eop"/>
          <w:rFonts w:eastAsia="Times New Roman" w:cstheme="majorBidi"/>
        </w:rPr>
        <w:t xml:space="preserve">important </w:t>
      </w:r>
      <w:r w:rsidRPr="002C6EFD">
        <w:rPr>
          <w:rStyle w:val="eop"/>
          <w:rFonts w:eastAsia="Times New Roman" w:cstheme="majorBidi"/>
        </w:rPr>
        <w:t>enabler for people with disabilities</w:t>
      </w:r>
      <w:r w:rsidR="005261A6">
        <w:rPr>
          <w:rStyle w:val="eop"/>
          <w:rFonts w:eastAsia="Times New Roman" w:cstheme="majorBidi"/>
        </w:rPr>
        <w:t xml:space="preserve"> </w:t>
      </w:r>
      <w:r w:rsidR="0045334C">
        <w:rPr>
          <w:rStyle w:val="eop"/>
          <w:rFonts w:eastAsia="Times New Roman" w:cstheme="majorBidi"/>
        </w:rPr>
        <w:t>as well as</w:t>
      </w:r>
      <w:r w:rsidR="00BC3A6F">
        <w:rPr>
          <w:rStyle w:val="eop"/>
          <w:rFonts w:eastAsia="Times New Roman" w:cstheme="majorBidi"/>
        </w:rPr>
        <w:t xml:space="preserve"> an</w:t>
      </w:r>
      <w:r>
        <w:rPr>
          <w:rStyle w:val="eop"/>
          <w:rFonts w:eastAsia="Times New Roman" w:cstheme="majorBidi"/>
        </w:rPr>
        <w:t xml:space="preserve"> enshrined</w:t>
      </w:r>
      <w:r w:rsidR="00BC3A6F">
        <w:rPr>
          <w:rStyle w:val="eop"/>
          <w:rFonts w:eastAsia="Times New Roman" w:cstheme="majorBidi"/>
        </w:rPr>
        <w:t xml:space="preserve"> right</w:t>
      </w:r>
      <w:r>
        <w:rPr>
          <w:rStyle w:val="eop"/>
          <w:rFonts w:eastAsia="Times New Roman" w:cstheme="majorBidi"/>
        </w:rPr>
        <w:t xml:space="preserve"> in Article 20 of the </w:t>
      </w:r>
      <w:r w:rsidRPr="00BC3A6F">
        <w:rPr>
          <w:rStyle w:val="eop"/>
          <w:rFonts w:eastAsia="Times New Roman" w:cstheme="majorBidi"/>
          <w:i/>
          <w:iCs/>
        </w:rPr>
        <w:t>Convention on the Rights of Pe</w:t>
      </w:r>
      <w:r w:rsidR="00BC3A6F">
        <w:rPr>
          <w:rStyle w:val="eop"/>
          <w:rFonts w:eastAsia="Times New Roman" w:cstheme="majorBidi"/>
          <w:i/>
          <w:iCs/>
        </w:rPr>
        <w:t>rsons</w:t>
      </w:r>
      <w:r w:rsidRPr="00BC3A6F">
        <w:rPr>
          <w:rStyle w:val="eop"/>
          <w:rFonts w:eastAsia="Times New Roman" w:cstheme="majorBidi"/>
          <w:i/>
          <w:iCs/>
        </w:rPr>
        <w:t xml:space="preserve"> with Disabilities</w:t>
      </w:r>
      <w:r>
        <w:rPr>
          <w:rStyle w:val="eop"/>
          <w:rFonts w:eastAsia="Times New Roman" w:cstheme="majorBidi"/>
        </w:rPr>
        <w:t xml:space="preserve">. However, access to AT </w:t>
      </w:r>
      <w:r w:rsidRPr="002C6EFD">
        <w:rPr>
          <w:rStyle w:val="eop"/>
          <w:rFonts w:eastAsia="Times New Roman" w:cstheme="majorBidi"/>
        </w:rPr>
        <w:t>remains a critical challenge for too many</w:t>
      </w:r>
      <w:r>
        <w:rPr>
          <w:rStyle w:val="eop"/>
          <w:rFonts w:eastAsia="Times New Roman" w:cstheme="majorBidi"/>
        </w:rPr>
        <w:t xml:space="preserve"> across the Pacific. </w:t>
      </w:r>
      <w:r w:rsidR="00CC5EBA">
        <w:rPr>
          <w:rFonts w:eastAsia="Times New Roman" w:cstheme="majorBidi"/>
        </w:rPr>
        <w:t>Through funding support from Australia</w:t>
      </w:r>
      <w:r w:rsidR="0045334C">
        <w:rPr>
          <w:rFonts w:eastAsia="Times New Roman" w:cstheme="majorBidi"/>
        </w:rPr>
        <w:t>,</w:t>
      </w:r>
      <w:r w:rsidR="00CC5EBA">
        <w:rPr>
          <w:rFonts w:eastAsia="Times New Roman" w:cstheme="majorBidi"/>
        </w:rPr>
        <w:t xml:space="preserve"> Pacific governments have been </w:t>
      </w:r>
      <w:r w:rsidR="00BA5E59">
        <w:rPr>
          <w:rFonts w:eastAsia="Times New Roman" w:cstheme="majorBidi"/>
        </w:rPr>
        <w:t xml:space="preserve">able to prioritise the </w:t>
      </w:r>
      <w:r w:rsidR="00BA5E59" w:rsidRPr="00CC5EBA">
        <w:rPr>
          <w:rFonts w:eastAsia="Times New Roman" w:cstheme="majorBidi"/>
        </w:rPr>
        <w:t>development of AT and associated rehabilitation service</w:t>
      </w:r>
      <w:r w:rsidR="00BA5E59">
        <w:rPr>
          <w:rFonts w:eastAsia="Times New Roman" w:cstheme="majorBidi"/>
        </w:rPr>
        <w:t>’s investment in AT in the Pacific with lasting impacts.</w:t>
      </w:r>
      <w:r w:rsidR="00F44F90">
        <w:rPr>
          <w:rStyle w:val="EndnoteReference"/>
          <w:rFonts w:eastAsia="Times New Roman" w:cstheme="majorBidi"/>
        </w:rPr>
        <w:endnoteReference w:id="7"/>
      </w:r>
      <w:r w:rsidR="00BA5E59">
        <w:rPr>
          <w:rFonts w:eastAsia="Times New Roman" w:cstheme="majorBidi"/>
        </w:rPr>
        <w:t xml:space="preserve"> </w:t>
      </w:r>
      <w:r w:rsidR="000367D8">
        <w:rPr>
          <w:rFonts w:eastAsia="Times New Roman" w:cstheme="majorBidi"/>
        </w:rPr>
        <w:t>These pockets of success s</w:t>
      </w:r>
      <w:r w:rsidR="0013515D">
        <w:rPr>
          <w:rFonts w:eastAsia="Times New Roman" w:cstheme="majorBidi"/>
        </w:rPr>
        <w:t xml:space="preserve">hould </w:t>
      </w:r>
      <w:r w:rsidR="000367D8">
        <w:rPr>
          <w:rFonts w:eastAsia="Times New Roman" w:cstheme="majorBidi"/>
        </w:rPr>
        <w:t xml:space="preserve">inform the necessary scale up of AT </w:t>
      </w:r>
      <w:r w:rsidR="0013515D">
        <w:rPr>
          <w:rFonts w:eastAsia="Times New Roman" w:cstheme="majorBidi"/>
        </w:rPr>
        <w:t xml:space="preserve">services </w:t>
      </w:r>
      <w:r w:rsidR="000367D8">
        <w:rPr>
          <w:rFonts w:eastAsia="Times New Roman" w:cstheme="majorBidi"/>
        </w:rPr>
        <w:t xml:space="preserve">in the Pacific </w:t>
      </w:r>
      <w:r w:rsidR="0013515D">
        <w:rPr>
          <w:rFonts w:eastAsia="Times New Roman" w:cstheme="majorBidi"/>
        </w:rPr>
        <w:t xml:space="preserve">to meet need and </w:t>
      </w:r>
      <w:r w:rsidR="00041121" w:rsidRPr="00041121">
        <w:rPr>
          <w:rFonts w:eastAsia="Times New Roman" w:cstheme="majorBidi"/>
        </w:rPr>
        <w:t xml:space="preserve">facilitate active and meaningful participation </w:t>
      </w:r>
      <w:r w:rsidR="003D1EA7">
        <w:rPr>
          <w:rFonts w:eastAsia="Times New Roman" w:cstheme="majorBidi"/>
        </w:rPr>
        <w:t xml:space="preserve">for an accelerated number </w:t>
      </w:r>
      <w:r w:rsidR="00041121" w:rsidRPr="00041121">
        <w:rPr>
          <w:rFonts w:eastAsia="Times New Roman" w:cstheme="majorBidi"/>
        </w:rPr>
        <w:t>of people with disabilities.</w:t>
      </w:r>
      <w:r w:rsidR="008135CD">
        <w:rPr>
          <w:rFonts w:eastAsia="Times New Roman" w:cstheme="majorBidi"/>
        </w:rPr>
        <w:t xml:space="preserve"> ADDC</w:t>
      </w:r>
      <w:r w:rsidR="00E1000B">
        <w:rPr>
          <w:rFonts w:eastAsia="Times New Roman" w:cstheme="majorBidi"/>
        </w:rPr>
        <w:t xml:space="preserve"> recommend</w:t>
      </w:r>
      <w:r w:rsidR="008135CD">
        <w:rPr>
          <w:rFonts w:eastAsia="Times New Roman" w:cstheme="majorBidi"/>
        </w:rPr>
        <w:t>s</w:t>
      </w:r>
      <w:r w:rsidR="00E1000B">
        <w:rPr>
          <w:rFonts w:eastAsia="Times New Roman" w:cstheme="majorBidi"/>
        </w:rPr>
        <w:t xml:space="preserve"> an allocation of</w:t>
      </w:r>
      <w:r w:rsidR="00E1000B" w:rsidRPr="00E1000B">
        <w:rPr>
          <w:rFonts w:eastAsia="Times New Roman" w:cstheme="majorBidi"/>
        </w:rPr>
        <w:t xml:space="preserve"> $12million over four years from </w:t>
      </w:r>
      <w:r w:rsidR="00223103">
        <w:rPr>
          <w:rFonts w:eastAsia="Times New Roman" w:cstheme="majorBidi"/>
        </w:rPr>
        <w:t>FY</w:t>
      </w:r>
      <w:r w:rsidR="00E1000B" w:rsidRPr="00E1000B">
        <w:rPr>
          <w:rFonts w:eastAsia="Times New Roman" w:cstheme="majorBidi"/>
        </w:rPr>
        <w:t xml:space="preserve">2024-25 to resource catalytic improvements in the provision of appropriate, </w:t>
      </w:r>
      <w:proofErr w:type="gramStart"/>
      <w:r w:rsidR="00E1000B" w:rsidRPr="00E1000B">
        <w:rPr>
          <w:rFonts w:eastAsia="Times New Roman" w:cstheme="majorBidi"/>
        </w:rPr>
        <w:t>quality</w:t>
      </w:r>
      <w:proofErr w:type="gramEnd"/>
      <w:r w:rsidR="00E1000B" w:rsidRPr="00E1000B">
        <w:rPr>
          <w:rFonts w:eastAsia="Times New Roman" w:cstheme="majorBidi"/>
        </w:rPr>
        <w:t xml:space="preserve"> and affordable assistive </w:t>
      </w:r>
      <w:r w:rsidR="00E1000B" w:rsidRPr="00936748">
        <w:rPr>
          <w:rFonts w:eastAsia="Times New Roman" w:cstheme="majorBidi"/>
        </w:rPr>
        <w:t xml:space="preserve">technology across the region. </w:t>
      </w:r>
      <w:r w:rsidR="00041121" w:rsidRPr="00041121">
        <w:rPr>
          <w:rFonts w:eastAsia="Times New Roman" w:cstheme="majorBidi"/>
        </w:rPr>
        <w:t>This</w:t>
      </w:r>
      <w:r w:rsidR="00E1000B" w:rsidRPr="00936748">
        <w:rPr>
          <w:rFonts w:eastAsia="Times New Roman" w:cstheme="majorBidi"/>
        </w:rPr>
        <w:t xml:space="preserve"> could</w:t>
      </w:r>
      <w:r w:rsidR="00041121" w:rsidRPr="00041121">
        <w:rPr>
          <w:rFonts w:eastAsia="Times New Roman" w:cstheme="majorBidi"/>
        </w:rPr>
        <w:t xml:space="preserve"> include: </w:t>
      </w:r>
    </w:p>
    <w:p w14:paraId="43B975B5" w14:textId="531EE272" w:rsidR="00041121" w:rsidRPr="00223103" w:rsidRDefault="00A27415" w:rsidP="00223103">
      <w:pPr>
        <w:numPr>
          <w:ilvl w:val="0"/>
          <w:numId w:val="29"/>
        </w:numPr>
        <w:spacing w:line="276" w:lineRule="auto"/>
        <w:rPr>
          <w:rFonts w:eastAsia="Times New Roman" w:cstheme="majorBidi"/>
        </w:rPr>
      </w:pPr>
      <w:r w:rsidRPr="00223103">
        <w:rPr>
          <w:rFonts w:eastAsia="Times New Roman" w:cstheme="majorBidi"/>
        </w:rPr>
        <w:t>Supporting the</w:t>
      </w:r>
      <w:r w:rsidR="00041121" w:rsidRPr="00223103">
        <w:rPr>
          <w:rFonts w:eastAsia="Times New Roman" w:cstheme="majorBidi"/>
        </w:rPr>
        <w:t xml:space="preserve"> establish</w:t>
      </w:r>
      <w:r w:rsidRPr="00223103">
        <w:rPr>
          <w:rFonts w:eastAsia="Times New Roman" w:cstheme="majorBidi"/>
        </w:rPr>
        <w:t>ment of</w:t>
      </w:r>
      <w:r w:rsidR="00041121" w:rsidRPr="00223103">
        <w:rPr>
          <w:rFonts w:eastAsia="Times New Roman" w:cstheme="majorBidi"/>
        </w:rPr>
        <w:t xml:space="preserve"> a Pacific regional procurement facility for quality and affordable assistive technologies by 2025</w:t>
      </w:r>
      <w:r w:rsidR="006A2A5B" w:rsidRPr="00223103">
        <w:rPr>
          <w:rFonts w:eastAsia="Times New Roman" w:cstheme="majorBidi"/>
        </w:rPr>
        <w:t xml:space="preserve"> </w:t>
      </w:r>
      <w:r w:rsidR="006A2A5B" w:rsidRPr="00333E25">
        <w:rPr>
          <w:rFonts w:eastAsia="Times New Roman" w:cstheme="majorBidi"/>
        </w:rPr>
        <w:t>working in partnership with Pacific disability led organisations and services.  </w:t>
      </w:r>
    </w:p>
    <w:p w14:paraId="3CE57E7D" w14:textId="77777777" w:rsidR="00041121" w:rsidRPr="00041121" w:rsidRDefault="00041121" w:rsidP="00223103">
      <w:pPr>
        <w:numPr>
          <w:ilvl w:val="0"/>
          <w:numId w:val="29"/>
        </w:numPr>
        <w:spacing w:line="276" w:lineRule="auto"/>
        <w:rPr>
          <w:rFonts w:eastAsia="Times New Roman" w:cstheme="majorBidi"/>
        </w:rPr>
      </w:pPr>
      <w:r w:rsidRPr="00223103">
        <w:rPr>
          <w:rFonts w:eastAsia="Times New Roman" w:cstheme="majorBidi"/>
        </w:rPr>
        <w:t>Provision</w:t>
      </w:r>
      <w:r w:rsidRPr="00041121">
        <w:rPr>
          <w:rFonts w:eastAsia="Times New Roman" w:cstheme="majorBidi"/>
        </w:rPr>
        <w:t xml:space="preserve"> of direct funding to partner governments, regional </w:t>
      </w:r>
      <w:proofErr w:type="gramStart"/>
      <w:r w:rsidRPr="00041121">
        <w:rPr>
          <w:rFonts w:eastAsia="Times New Roman" w:cstheme="majorBidi"/>
        </w:rPr>
        <w:t>bodies</w:t>
      </w:r>
      <w:proofErr w:type="gramEnd"/>
      <w:r w:rsidRPr="00041121">
        <w:rPr>
          <w:rFonts w:eastAsia="Times New Roman" w:cstheme="majorBidi"/>
        </w:rPr>
        <w:t xml:space="preserve"> or specialist agencies to ensure the initial training and ongoing professional development of specialist prosthetics and orthotics personnel in low-income settings. </w:t>
      </w:r>
    </w:p>
    <w:p w14:paraId="4B32642A" w14:textId="77777777" w:rsidR="00041121" w:rsidRPr="00041121" w:rsidRDefault="00041121" w:rsidP="00223103">
      <w:pPr>
        <w:numPr>
          <w:ilvl w:val="0"/>
          <w:numId w:val="29"/>
        </w:numPr>
        <w:spacing w:line="276" w:lineRule="auto"/>
        <w:rPr>
          <w:rFonts w:eastAsia="Times New Roman" w:cstheme="majorBidi"/>
        </w:rPr>
      </w:pPr>
      <w:r w:rsidRPr="00041121">
        <w:rPr>
          <w:rFonts w:eastAsia="Times New Roman" w:cstheme="majorBidi"/>
        </w:rPr>
        <w:t xml:space="preserve">Providing funding for regular training of multi-disciplinary personnel within local systems in the procurement, maintenance, </w:t>
      </w:r>
      <w:proofErr w:type="gramStart"/>
      <w:r w:rsidRPr="00041121">
        <w:rPr>
          <w:rFonts w:eastAsia="Times New Roman" w:cstheme="majorBidi"/>
        </w:rPr>
        <w:t>care</w:t>
      </w:r>
      <w:proofErr w:type="gramEnd"/>
      <w:r w:rsidRPr="00041121">
        <w:rPr>
          <w:rFonts w:eastAsia="Times New Roman" w:cstheme="majorBidi"/>
        </w:rPr>
        <w:t xml:space="preserve"> and disposal of assistive technologies, recognising that a life-cycle approach to managing assistive technologies is important.  </w:t>
      </w:r>
    </w:p>
    <w:p w14:paraId="67398888" w14:textId="77777777" w:rsidR="00041121" w:rsidRPr="00041121" w:rsidRDefault="00041121" w:rsidP="00223103">
      <w:pPr>
        <w:numPr>
          <w:ilvl w:val="0"/>
          <w:numId w:val="29"/>
        </w:numPr>
        <w:spacing w:line="276" w:lineRule="auto"/>
        <w:rPr>
          <w:rFonts w:eastAsia="Times New Roman" w:cstheme="majorBidi"/>
        </w:rPr>
      </w:pPr>
      <w:r w:rsidRPr="00041121">
        <w:rPr>
          <w:rFonts w:eastAsia="Times New Roman" w:cstheme="majorBidi"/>
        </w:rPr>
        <w:t>Funding pilots and scale ups of effective, contextualised rights-based support services, including human supports such as sign language interpreters, sighted guides, tactile interpreters, and personal assistance.   </w:t>
      </w:r>
    </w:p>
    <w:p w14:paraId="2537AB1D" w14:textId="77777777" w:rsidR="00041121" w:rsidRPr="00041121" w:rsidRDefault="00041121" w:rsidP="00223103">
      <w:pPr>
        <w:numPr>
          <w:ilvl w:val="0"/>
          <w:numId w:val="29"/>
        </w:numPr>
        <w:spacing w:line="276" w:lineRule="auto"/>
        <w:rPr>
          <w:rFonts w:eastAsia="Times New Roman" w:cstheme="majorBidi"/>
        </w:rPr>
      </w:pPr>
      <w:r w:rsidRPr="00041121">
        <w:rPr>
          <w:rFonts w:eastAsia="Times New Roman" w:cstheme="majorBidi"/>
        </w:rPr>
        <w:t>Commit to supporting a regional rehabilitation and assistive technology association to facilitate the sharing of resources and building of an evidence-base for future investment. </w:t>
      </w:r>
    </w:p>
    <w:p w14:paraId="26E8B622" w14:textId="77777777" w:rsidR="00594E65" w:rsidRDefault="00594E65" w:rsidP="00446812">
      <w:pPr>
        <w:spacing w:line="276" w:lineRule="auto"/>
        <w:rPr>
          <w:rStyle w:val="eop"/>
          <w:rFonts w:eastAsia="Times New Roman" w:cstheme="majorBidi"/>
        </w:rPr>
      </w:pPr>
    </w:p>
    <w:p w14:paraId="6B3EB853" w14:textId="62A96E3A" w:rsidR="00FE58CB" w:rsidRDefault="00F20A22" w:rsidP="000F54C5">
      <w:pPr>
        <w:spacing w:after="160" w:line="276" w:lineRule="auto"/>
        <w:rPr>
          <w:rFonts w:eastAsia="Times New Roman" w:cstheme="majorBidi"/>
        </w:rPr>
      </w:pPr>
      <w:r w:rsidRPr="00F20A22">
        <w:rPr>
          <w:rFonts w:eastAsia="Times New Roman" w:cstheme="majorBidi"/>
        </w:rPr>
        <w:t>People with disabilities and the disability rights movement are active</w:t>
      </w:r>
      <w:r w:rsidR="006B4C28">
        <w:rPr>
          <w:rFonts w:eastAsia="Times New Roman" w:cstheme="majorBidi"/>
        </w:rPr>
        <w:t xml:space="preserve">ly </w:t>
      </w:r>
      <w:r w:rsidRPr="00F20A22">
        <w:rPr>
          <w:rFonts w:eastAsia="Times New Roman" w:cstheme="majorBidi"/>
        </w:rPr>
        <w:t>calling for support systems that are reflective of the right to exercise their autonomy and direct their own lives.</w:t>
      </w:r>
      <w:r w:rsidR="00073FB1">
        <w:rPr>
          <w:rStyle w:val="EndnoteReference"/>
          <w:rFonts w:eastAsia="Times New Roman" w:cstheme="majorBidi"/>
        </w:rPr>
        <w:endnoteReference w:id="8"/>
      </w:r>
      <w:r>
        <w:rPr>
          <w:rFonts w:eastAsia="Times New Roman" w:cstheme="majorBidi"/>
        </w:rPr>
        <w:t xml:space="preserve"> </w:t>
      </w:r>
      <w:r w:rsidR="00287BFD" w:rsidRPr="00287BFD">
        <w:rPr>
          <w:rFonts w:eastAsia="Times New Roman" w:cstheme="majorBidi"/>
        </w:rPr>
        <w:t xml:space="preserve">The 2024-25 Budget and the IDEARS represent a key opportunity for Australia to respond to the call from the Pacific Disability Forum to </w:t>
      </w:r>
      <w:r w:rsidR="00287BFD" w:rsidRPr="00287BFD">
        <w:rPr>
          <w:rFonts w:eastAsia="Times New Roman" w:cstheme="majorBidi"/>
        </w:rPr>
        <w:lastRenderedPageBreak/>
        <w:t xml:space="preserve">take strategic action to improve access to </w:t>
      </w:r>
      <w:r w:rsidR="00382AB2" w:rsidRPr="00287BFD">
        <w:rPr>
          <w:rFonts w:eastAsia="Times New Roman" w:cstheme="majorBidi"/>
        </w:rPr>
        <w:t>community-based</w:t>
      </w:r>
      <w:r w:rsidR="00287BFD" w:rsidRPr="00287BFD">
        <w:rPr>
          <w:rFonts w:eastAsia="Times New Roman" w:cstheme="majorBidi"/>
        </w:rPr>
        <w:t xml:space="preserve"> support services </w:t>
      </w:r>
      <w:r w:rsidR="00543F81">
        <w:rPr>
          <w:rFonts w:eastAsia="Times New Roman" w:cstheme="majorBidi"/>
        </w:rPr>
        <w:t xml:space="preserve">across the Pacific </w:t>
      </w:r>
      <w:r w:rsidR="00287BFD" w:rsidRPr="00287BFD">
        <w:rPr>
          <w:rFonts w:eastAsia="Times New Roman" w:cstheme="majorBidi"/>
        </w:rPr>
        <w:t xml:space="preserve">including personal assistance, sign language interpreters, </w:t>
      </w:r>
      <w:r w:rsidR="001F4718">
        <w:rPr>
          <w:rFonts w:eastAsia="Times New Roman" w:cstheme="majorBidi"/>
        </w:rPr>
        <w:t>mobility supports</w:t>
      </w:r>
      <w:r w:rsidR="00287BFD" w:rsidRPr="00287BFD">
        <w:rPr>
          <w:rFonts w:eastAsia="Times New Roman" w:cstheme="majorBidi"/>
        </w:rPr>
        <w:t>, supported decision making and housing support</w:t>
      </w:r>
      <w:r w:rsidR="00D053F9">
        <w:rPr>
          <w:rFonts w:eastAsia="Times New Roman" w:cstheme="majorBidi"/>
        </w:rPr>
        <w:t>.</w:t>
      </w:r>
      <w:r w:rsidR="00D053F9">
        <w:rPr>
          <w:rStyle w:val="EndnoteReference"/>
          <w:rFonts w:eastAsia="Times New Roman" w:cstheme="majorBidi"/>
        </w:rPr>
        <w:endnoteReference w:id="9"/>
      </w:r>
      <w:r w:rsidR="00382AB2">
        <w:rPr>
          <w:rFonts w:eastAsia="Times New Roman" w:cstheme="majorBidi"/>
        </w:rPr>
        <w:t xml:space="preserve"> </w:t>
      </w:r>
      <w:r w:rsidR="00441AC3">
        <w:rPr>
          <w:rFonts w:eastAsia="Times New Roman" w:cstheme="majorBidi"/>
        </w:rPr>
        <w:t>A initial step would be f</w:t>
      </w:r>
      <w:r w:rsidR="00543F81">
        <w:rPr>
          <w:rFonts w:eastAsia="Times New Roman" w:cstheme="majorBidi"/>
        </w:rPr>
        <w:t>unding</w:t>
      </w:r>
      <w:r w:rsidR="00441AC3">
        <w:rPr>
          <w:rFonts w:eastAsia="Times New Roman" w:cstheme="majorBidi"/>
        </w:rPr>
        <w:t xml:space="preserve"> in the FY2024-45 budget</w:t>
      </w:r>
      <w:r w:rsidR="00543F81">
        <w:rPr>
          <w:rFonts w:eastAsia="Times New Roman" w:cstheme="majorBidi"/>
        </w:rPr>
        <w:t xml:space="preserve"> a</w:t>
      </w:r>
      <w:r w:rsidR="00441AC3" w:rsidRPr="00441AC3">
        <w:rPr>
          <w:rFonts w:eastAsia="Times New Roman" w:cstheme="majorBidi"/>
        </w:rPr>
        <w:t xml:space="preserve"> regional situational analysis identifying what support services across the Pacific currently exist, what is needed to enable daily living and inclusion for people with disabilities and provide recommendations to deliver concrete and systemic changes required to progress this sector.</w:t>
      </w:r>
      <w:r w:rsidR="00441AC3">
        <w:rPr>
          <w:rFonts w:eastAsia="Times New Roman" w:cstheme="majorBidi"/>
        </w:rPr>
        <w:t xml:space="preserve"> Followed by t</w:t>
      </w:r>
      <w:r w:rsidR="00441AC3" w:rsidRPr="00441AC3">
        <w:rPr>
          <w:rFonts w:eastAsia="Times New Roman" w:cstheme="majorBidi"/>
        </w:rPr>
        <w:t>hree to four pilot programs that are scalable to implement the recommendations of the regional report and support the development of identified support services.</w:t>
      </w:r>
    </w:p>
    <w:p w14:paraId="5102E3E6" w14:textId="4C0D9158" w:rsidR="000F54C5" w:rsidRPr="000254BF" w:rsidRDefault="000F54C5" w:rsidP="000254BF">
      <w:pPr>
        <w:spacing w:after="240" w:line="276" w:lineRule="auto"/>
      </w:pPr>
      <w:r w:rsidRPr="004E55EC">
        <w:t>Effective action on disability specific services, such as assistive technology and support service, in partnership with disability led organisations and services, is central to the proposed remit for the Pacific Regional Funding Mechanism. As the Mechanism is currently at the early stages of development and given the urgency to address gaps in disability specific services in the region, we have included separate funding recommendations for the Mechanism and disability specific services. It is our expectation that, when the Mechanism becomes operational, activity and funding such as that identified on disability specific services would come under the operation of the Mechanism.  </w:t>
      </w:r>
    </w:p>
    <w:p w14:paraId="2313F240" w14:textId="6765B6F7" w:rsidR="00F70EDF" w:rsidRPr="00F70EDF" w:rsidRDefault="00F70EDF" w:rsidP="001B2307">
      <w:pPr>
        <w:pStyle w:val="Heading4"/>
        <w:rPr>
          <w:rStyle w:val="eop"/>
          <w:rFonts w:eastAsia="Times New Roman" w:cstheme="majorBidi"/>
        </w:rPr>
      </w:pPr>
      <w:r w:rsidRPr="001B2307">
        <w:rPr>
          <w:rStyle w:val="normaltextrun"/>
        </w:rPr>
        <w:t>Recommendations</w:t>
      </w:r>
    </w:p>
    <w:p w14:paraId="64474C33" w14:textId="482FD99C" w:rsidR="00594E65" w:rsidRDefault="00594E65" w:rsidP="00594E65">
      <w:pPr>
        <w:pStyle w:val="ListParagraph"/>
        <w:numPr>
          <w:ilvl w:val="0"/>
          <w:numId w:val="9"/>
        </w:numPr>
        <w:spacing w:after="160" w:line="276" w:lineRule="auto"/>
        <w:rPr>
          <w:rFonts w:eastAsia="Times New Roman" w:cstheme="majorBidi"/>
        </w:rPr>
      </w:pPr>
      <w:r w:rsidRPr="42D85238">
        <w:rPr>
          <w:rFonts w:eastAsia="Times New Roman" w:cstheme="majorBidi"/>
        </w:rPr>
        <w:t xml:space="preserve">Commit ongoing support to the Pacific Regional </w:t>
      </w:r>
      <w:r w:rsidR="00DD0A0B">
        <w:rPr>
          <w:rFonts w:eastAsia="Times New Roman" w:cstheme="majorBidi"/>
        </w:rPr>
        <w:t xml:space="preserve">Funding </w:t>
      </w:r>
      <w:r>
        <w:rPr>
          <w:rFonts w:eastAsia="Times New Roman" w:cstheme="majorBidi"/>
        </w:rPr>
        <w:t xml:space="preserve">Mechanism </w:t>
      </w:r>
      <w:r w:rsidRPr="42D85238">
        <w:rPr>
          <w:rFonts w:eastAsia="Times New Roman" w:cstheme="majorBidi"/>
        </w:rPr>
        <w:t xml:space="preserve">beyond the co-design phase, to accelerate the implementation of the </w:t>
      </w:r>
      <w:r w:rsidRPr="009518D3">
        <w:rPr>
          <w:rFonts w:eastAsia="Times New Roman" w:cstheme="majorBidi"/>
          <w:i/>
          <w:iCs/>
        </w:rPr>
        <w:t>Pacific Framework for the Rights of Persons with Disabilities 2016-20</w:t>
      </w:r>
      <w:r w:rsidRPr="00852193">
        <w:rPr>
          <w:rFonts w:eastAsia="Times New Roman" w:cstheme="majorBidi"/>
          <w:i/>
          <w:iCs/>
        </w:rPr>
        <w:t>25</w:t>
      </w:r>
      <w:r w:rsidRPr="42D85238">
        <w:rPr>
          <w:rFonts w:eastAsia="Times New Roman" w:cstheme="majorBidi"/>
        </w:rPr>
        <w:t xml:space="preserve">, including: </w:t>
      </w:r>
    </w:p>
    <w:p w14:paraId="1E432D5D" w14:textId="66185FB9" w:rsidR="00594E65" w:rsidRDefault="00594E65" w:rsidP="00594E65">
      <w:pPr>
        <w:pStyle w:val="ListParagraph"/>
        <w:numPr>
          <w:ilvl w:val="1"/>
          <w:numId w:val="12"/>
        </w:numPr>
        <w:spacing w:after="160" w:line="276" w:lineRule="auto"/>
        <w:rPr>
          <w:rFonts w:eastAsia="Times New Roman" w:cstheme="majorBidi"/>
        </w:rPr>
      </w:pPr>
      <w:r w:rsidRPr="42D85238">
        <w:rPr>
          <w:rFonts w:eastAsia="Times New Roman" w:cstheme="majorBidi"/>
        </w:rPr>
        <w:t>Committing $40 million over four years from 2024-25 to the Pacific Regional</w:t>
      </w:r>
      <w:r w:rsidR="00DD0A0B">
        <w:rPr>
          <w:rFonts w:eastAsia="Times New Roman" w:cstheme="majorBidi"/>
        </w:rPr>
        <w:t xml:space="preserve"> Funding</w:t>
      </w:r>
      <w:r w:rsidRPr="42D85238">
        <w:rPr>
          <w:rFonts w:eastAsia="Times New Roman" w:cstheme="majorBidi"/>
        </w:rPr>
        <w:t xml:space="preserve"> Mechanism</w:t>
      </w:r>
    </w:p>
    <w:p w14:paraId="0928B6A2" w14:textId="218A8254" w:rsidR="00333E25" w:rsidRPr="00333E25" w:rsidRDefault="00594E65" w:rsidP="00333E25">
      <w:pPr>
        <w:pStyle w:val="ListParagraph"/>
        <w:numPr>
          <w:ilvl w:val="1"/>
          <w:numId w:val="12"/>
        </w:numPr>
        <w:spacing w:after="160" w:line="276" w:lineRule="auto"/>
        <w:rPr>
          <w:rFonts w:eastAsia="Times New Roman" w:cstheme="majorBidi"/>
        </w:rPr>
      </w:pPr>
      <w:r w:rsidRPr="42D85238">
        <w:rPr>
          <w:rFonts w:eastAsia="Times New Roman" w:cstheme="majorBidi"/>
        </w:rPr>
        <w:t xml:space="preserve">Actively engaging with likeminded donors to provide support through the </w:t>
      </w:r>
      <w:r>
        <w:rPr>
          <w:rFonts w:eastAsia="Times New Roman" w:cstheme="majorBidi"/>
        </w:rPr>
        <w:t>Mechanism</w:t>
      </w:r>
      <w:r w:rsidRPr="42D85238">
        <w:rPr>
          <w:rFonts w:eastAsia="Times New Roman" w:cstheme="majorBidi"/>
        </w:rPr>
        <w:t>.</w:t>
      </w:r>
    </w:p>
    <w:p w14:paraId="7AE0F054" w14:textId="3CDF0E1D" w:rsidR="00333E25" w:rsidRPr="00333E25" w:rsidRDefault="00333E25" w:rsidP="00333E25">
      <w:pPr>
        <w:pStyle w:val="ListParagraph"/>
        <w:numPr>
          <w:ilvl w:val="0"/>
          <w:numId w:val="9"/>
        </w:numPr>
        <w:spacing w:after="160" w:line="276" w:lineRule="auto"/>
        <w:rPr>
          <w:rFonts w:eastAsia="Times New Roman" w:cstheme="majorBidi"/>
        </w:rPr>
      </w:pPr>
      <w:r w:rsidRPr="00333E25">
        <w:rPr>
          <w:rFonts w:eastAsia="Times New Roman" w:cstheme="majorBidi"/>
        </w:rPr>
        <w:t xml:space="preserve">Given the urgency of the need, </w:t>
      </w:r>
      <w:r w:rsidR="006162DE">
        <w:rPr>
          <w:rFonts w:eastAsia="Times New Roman" w:cstheme="majorBidi"/>
        </w:rPr>
        <w:t xml:space="preserve">allocate </w:t>
      </w:r>
      <w:r w:rsidRPr="00333E25">
        <w:rPr>
          <w:rFonts w:eastAsia="Times New Roman" w:cstheme="majorBidi"/>
        </w:rPr>
        <w:t>$12million over four years from 2024-25 to resource catalytic improvements in disability specific services, to be absorbed by the Pacific Regional Funding Mechanism when it is operational, including:  </w:t>
      </w:r>
    </w:p>
    <w:p w14:paraId="2270BBA1" w14:textId="77777777" w:rsidR="00333E25" w:rsidRPr="00333E25" w:rsidRDefault="00333E25" w:rsidP="006A2A5B">
      <w:pPr>
        <w:pStyle w:val="ListParagraph"/>
        <w:numPr>
          <w:ilvl w:val="1"/>
          <w:numId w:val="9"/>
        </w:numPr>
        <w:spacing w:after="160" w:line="276" w:lineRule="auto"/>
        <w:rPr>
          <w:rFonts w:eastAsia="Times New Roman" w:cstheme="majorBidi"/>
        </w:rPr>
      </w:pPr>
      <w:r w:rsidRPr="00333E25">
        <w:rPr>
          <w:rFonts w:eastAsia="Times New Roman" w:cstheme="majorBidi"/>
        </w:rPr>
        <w:t xml:space="preserve">The provision of appropriate, </w:t>
      </w:r>
      <w:proofErr w:type="gramStart"/>
      <w:r w:rsidRPr="00333E25">
        <w:rPr>
          <w:rFonts w:eastAsia="Times New Roman" w:cstheme="majorBidi"/>
        </w:rPr>
        <w:t>quality</w:t>
      </w:r>
      <w:proofErr w:type="gramEnd"/>
      <w:r w:rsidRPr="00333E25">
        <w:rPr>
          <w:rFonts w:eastAsia="Times New Roman" w:cstheme="majorBidi"/>
        </w:rPr>
        <w:t xml:space="preserve"> and affordable assistive technology across the region, working in partnership with Pacific disability led organisations and services.  </w:t>
      </w:r>
    </w:p>
    <w:p w14:paraId="59DAE5BB" w14:textId="1070E445" w:rsidR="00333E25" w:rsidRPr="00333E25" w:rsidRDefault="002208EE" w:rsidP="00A27415">
      <w:pPr>
        <w:pStyle w:val="ListParagraph"/>
        <w:numPr>
          <w:ilvl w:val="1"/>
          <w:numId w:val="9"/>
        </w:numPr>
        <w:spacing w:after="160" w:line="276" w:lineRule="auto"/>
        <w:rPr>
          <w:rFonts w:eastAsia="Times New Roman" w:cstheme="majorBidi"/>
        </w:rPr>
      </w:pPr>
      <w:r>
        <w:rPr>
          <w:rFonts w:eastAsia="Times New Roman" w:cstheme="majorBidi"/>
        </w:rPr>
        <w:t>In r</w:t>
      </w:r>
      <w:r w:rsidR="00333E25" w:rsidRPr="00333E25">
        <w:rPr>
          <w:rFonts w:eastAsia="Times New Roman" w:cstheme="majorBidi"/>
        </w:rPr>
        <w:t>ecognising the extensive lack of support services in the Pacific region, commission: </w:t>
      </w:r>
    </w:p>
    <w:p w14:paraId="3DAC1365" w14:textId="77777777" w:rsidR="00333E25" w:rsidRPr="00333E25" w:rsidRDefault="00333E25" w:rsidP="00A27415">
      <w:pPr>
        <w:pStyle w:val="ListParagraph"/>
        <w:numPr>
          <w:ilvl w:val="2"/>
          <w:numId w:val="9"/>
        </w:numPr>
        <w:spacing w:after="160" w:line="276" w:lineRule="auto"/>
        <w:rPr>
          <w:rFonts w:eastAsia="Times New Roman" w:cstheme="majorBidi"/>
        </w:rPr>
      </w:pPr>
      <w:r w:rsidRPr="00333E25">
        <w:rPr>
          <w:rFonts w:eastAsia="Times New Roman" w:cstheme="majorBidi"/>
        </w:rPr>
        <w:t>A regional situational analysis identifying what support services across the Pacific currently exist and what is needed to enable daily living and inclusion for people with disabilities, and provide recommendations to deliver the concrete, systemic changes required to progress this sector. </w:t>
      </w:r>
    </w:p>
    <w:p w14:paraId="4BE3C292" w14:textId="3BD1B544" w:rsidR="00333E25" w:rsidRPr="00A27415" w:rsidRDefault="00333E25" w:rsidP="00A27415">
      <w:pPr>
        <w:pStyle w:val="ListParagraph"/>
        <w:numPr>
          <w:ilvl w:val="2"/>
          <w:numId w:val="9"/>
        </w:numPr>
        <w:spacing w:after="160" w:line="276" w:lineRule="auto"/>
        <w:rPr>
          <w:rFonts w:eastAsia="Times New Roman" w:cstheme="majorBidi"/>
        </w:rPr>
      </w:pPr>
      <w:r w:rsidRPr="00333E25">
        <w:rPr>
          <w:rFonts w:eastAsia="Times New Roman" w:cstheme="majorBidi"/>
        </w:rPr>
        <w:t>Three to four pilot programs that are scalable to implement the recommendations of the regional analysis and support the development of identified support services. </w:t>
      </w:r>
    </w:p>
    <w:p w14:paraId="437920F1" w14:textId="77777777" w:rsidR="00E11757" w:rsidRDefault="00E11757" w:rsidP="008C16AE">
      <w:pPr>
        <w:spacing w:line="276" w:lineRule="auto"/>
        <w:rPr>
          <w:rFonts w:eastAsia="Times New Roman" w:cstheme="majorBidi"/>
        </w:rPr>
      </w:pPr>
    </w:p>
    <w:p w14:paraId="0ECA7772" w14:textId="2C89F497" w:rsidR="00387F48" w:rsidRPr="001B2307" w:rsidRDefault="00387F48" w:rsidP="001B2307">
      <w:pPr>
        <w:pStyle w:val="Heading2"/>
        <w:rPr>
          <w:i/>
          <w:iCs/>
        </w:rPr>
      </w:pPr>
      <w:r w:rsidRPr="001B2307">
        <w:t>Australia’s Overseas Development Assistance (ODA) budget</w:t>
      </w:r>
    </w:p>
    <w:p w14:paraId="1D415657" w14:textId="5C2BCCFE" w:rsidR="00F70EDF" w:rsidRDefault="006E1D1E" w:rsidP="002C6EFD">
      <w:pPr>
        <w:spacing w:after="160" w:line="276" w:lineRule="auto"/>
        <w:rPr>
          <w:rStyle w:val="eop"/>
          <w:rFonts w:eastAsia="Times New Roman" w:cstheme="majorBidi"/>
        </w:rPr>
      </w:pPr>
      <w:r>
        <w:rPr>
          <w:rFonts w:eastAsia="Times New Roman" w:cstheme="majorBidi"/>
        </w:rPr>
        <w:t>ADDC</w:t>
      </w:r>
      <w:r w:rsidRPr="006E1D1E">
        <w:rPr>
          <w:rFonts w:eastAsia="Times New Roman" w:cstheme="majorBidi"/>
        </w:rPr>
        <w:t xml:space="preserve"> recommends that Australia extends its commitment to rebuilding the Australian development cooperation budget by identifying a plan and pathway to reach ODA of 0.5% GNI.</w:t>
      </w:r>
      <w:r w:rsidR="00446812">
        <w:rPr>
          <w:rFonts w:eastAsia="Times New Roman" w:cstheme="majorBidi"/>
        </w:rPr>
        <w:t xml:space="preserve"> </w:t>
      </w:r>
      <w:r w:rsidRPr="006E1D1E">
        <w:rPr>
          <w:rFonts w:eastAsia="Times New Roman" w:cstheme="majorBidi"/>
        </w:rPr>
        <w:t xml:space="preserve">While we welcome the Australian Government’s commitments to increase development assistance year-on-year over the long term, the budget is still set to flatline in real terms from 2026. Australia continues to </w:t>
      </w:r>
      <w:proofErr w:type="gramStart"/>
      <w:r w:rsidRPr="006E1D1E">
        <w:rPr>
          <w:rFonts w:eastAsia="Times New Roman" w:cstheme="majorBidi"/>
        </w:rPr>
        <w:t>lag behind</w:t>
      </w:r>
      <w:proofErr w:type="gramEnd"/>
      <w:r w:rsidRPr="006E1D1E">
        <w:rPr>
          <w:rFonts w:eastAsia="Times New Roman" w:cstheme="majorBidi"/>
        </w:rPr>
        <w:t xml:space="preserve"> like-minded donors and will fall yet further behind over the coming years, despite our commitment to being a credible and generous international actor.  </w:t>
      </w:r>
    </w:p>
    <w:p w14:paraId="242D89E6" w14:textId="77777777" w:rsidR="00F70EDF" w:rsidRPr="00F70EDF" w:rsidRDefault="00F70EDF" w:rsidP="001B2307">
      <w:pPr>
        <w:pStyle w:val="Heading4"/>
        <w:rPr>
          <w:rStyle w:val="eop"/>
          <w:rFonts w:eastAsia="Times New Roman" w:cstheme="majorBidi"/>
        </w:rPr>
      </w:pPr>
      <w:r w:rsidRPr="001B2307">
        <w:rPr>
          <w:rStyle w:val="normaltextrun"/>
        </w:rPr>
        <w:t>Recommendations</w:t>
      </w:r>
    </w:p>
    <w:p w14:paraId="497A971A" w14:textId="536020C9" w:rsidR="00304E88" w:rsidRPr="00446812" w:rsidRDefault="006E1D1E" w:rsidP="002C6EFD">
      <w:pPr>
        <w:pStyle w:val="ListParagraph"/>
        <w:numPr>
          <w:ilvl w:val="0"/>
          <w:numId w:val="9"/>
        </w:numPr>
        <w:spacing w:after="160" w:line="276" w:lineRule="auto"/>
        <w:rPr>
          <w:rStyle w:val="eop"/>
          <w:rFonts w:eastAsia="Times New Roman" w:cstheme="majorBidi"/>
        </w:rPr>
      </w:pPr>
      <w:r w:rsidRPr="006E1D1E">
        <w:rPr>
          <w:rStyle w:val="eop"/>
          <w:rFonts w:eastAsia="Times New Roman" w:cstheme="majorBidi"/>
        </w:rPr>
        <w:lastRenderedPageBreak/>
        <w:t>Establish a plan and pathway for Government to reach its commitment to increase ODA to 0.5% of GNI, including meeting the OECD DAC average of 0.36% by the end of 2027.</w:t>
      </w:r>
    </w:p>
    <w:p w14:paraId="17A93917" w14:textId="77777777" w:rsidR="00E11757" w:rsidRPr="001B2307" w:rsidRDefault="00E11757" w:rsidP="00304E88">
      <w:pPr>
        <w:spacing w:line="276" w:lineRule="auto"/>
        <w:rPr>
          <w:rStyle w:val="normaltextrun"/>
          <w:b/>
          <w:bCs/>
          <w:color w:val="167A8C"/>
          <w:sz w:val="24"/>
          <w:szCs w:val="24"/>
          <w:shd w:val="clear" w:color="auto" w:fill="FFFFFF"/>
        </w:rPr>
      </w:pPr>
    </w:p>
    <w:p w14:paraId="24E8A956" w14:textId="77777777" w:rsidR="00027A70" w:rsidRPr="001B2307" w:rsidRDefault="00027A70" w:rsidP="00304E88">
      <w:pPr>
        <w:spacing w:line="276" w:lineRule="auto"/>
        <w:rPr>
          <w:rStyle w:val="normaltextrun"/>
          <w:b/>
          <w:bCs/>
          <w:color w:val="167A8C"/>
          <w:sz w:val="24"/>
          <w:szCs w:val="24"/>
          <w:shd w:val="clear" w:color="auto" w:fill="FFFFFF"/>
        </w:rPr>
      </w:pPr>
    </w:p>
    <w:p w14:paraId="1BB00888" w14:textId="51FFEEFC" w:rsidR="00304E88" w:rsidRPr="001B2307" w:rsidRDefault="00304E88" w:rsidP="001B2307">
      <w:pPr>
        <w:pStyle w:val="Heading4"/>
        <w:rPr>
          <w:rStyle w:val="normaltextrun"/>
          <w:b w:val="0"/>
          <w:bCs w:val="0"/>
        </w:rPr>
      </w:pPr>
      <w:r w:rsidRPr="001B2307">
        <w:rPr>
          <w:rStyle w:val="normaltextrun"/>
        </w:rPr>
        <w:t>Contact</w:t>
      </w:r>
    </w:p>
    <w:p w14:paraId="1F22FBDD" w14:textId="4EABDAAA" w:rsidR="00304E88" w:rsidRDefault="00304E88" w:rsidP="00304E88">
      <w:pPr>
        <w:spacing w:line="276" w:lineRule="auto"/>
        <w:rPr>
          <w:rStyle w:val="eop"/>
          <w:shd w:val="clear" w:color="auto" w:fill="FFFFFF"/>
        </w:rPr>
      </w:pPr>
      <w:r>
        <w:rPr>
          <w:rStyle w:val="eop"/>
          <w:shd w:val="clear" w:color="auto" w:fill="FFFFFF"/>
        </w:rPr>
        <w:t>Kerryn Clarke, ADDC Executive Officer</w:t>
      </w:r>
    </w:p>
    <w:p w14:paraId="7261DA57" w14:textId="5E9FD3F6" w:rsidR="00304E88" w:rsidRDefault="00000000" w:rsidP="00304E88">
      <w:pPr>
        <w:spacing w:line="276" w:lineRule="auto"/>
        <w:rPr>
          <w:rStyle w:val="eop"/>
          <w:shd w:val="clear" w:color="auto" w:fill="FFFFFF"/>
        </w:rPr>
      </w:pPr>
      <w:hyperlink r:id="rId12" w:history="1">
        <w:r w:rsidR="00304E88" w:rsidRPr="007A28D3">
          <w:rPr>
            <w:rStyle w:val="Hyperlink"/>
            <w:shd w:val="clear" w:color="auto" w:fill="FFFFFF"/>
          </w:rPr>
          <w:t>kclarke@addc.org.au</w:t>
        </w:r>
      </w:hyperlink>
    </w:p>
    <w:p w14:paraId="246C275D" w14:textId="39A4E249" w:rsidR="00446812" w:rsidRDefault="00304E88" w:rsidP="00304E88">
      <w:pPr>
        <w:spacing w:line="276" w:lineRule="auto"/>
        <w:rPr>
          <w:rStyle w:val="eop"/>
          <w:shd w:val="clear" w:color="auto" w:fill="FFFFFF"/>
        </w:rPr>
      </w:pPr>
      <w:r>
        <w:rPr>
          <w:rStyle w:val="eop"/>
          <w:shd w:val="clear" w:color="auto" w:fill="FFFFFF"/>
        </w:rPr>
        <w:t>Submitted January 2024</w:t>
      </w:r>
    </w:p>
    <w:p w14:paraId="77D8D664" w14:textId="77777777" w:rsidR="00446812" w:rsidRPr="00304E88" w:rsidRDefault="00446812" w:rsidP="00304E88">
      <w:pPr>
        <w:spacing w:line="276" w:lineRule="auto"/>
        <w:rPr>
          <w:rStyle w:val="eop"/>
          <w:shd w:val="clear" w:color="auto" w:fill="FFFFFF"/>
        </w:rPr>
      </w:pPr>
    </w:p>
    <w:sectPr w:rsidR="00446812" w:rsidRPr="00304E88" w:rsidSect="007E4A8C">
      <w:footerReference w:type="default" r:id="rId13"/>
      <w:pgSz w:w="11906" w:h="16838"/>
      <w:pgMar w:top="1440" w:right="1077" w:bottom="119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BCE1" w14:textId="77777777" w:rsidR="007E4A8C" w:rsidRDefault="007E4A8C" w:rsidP="00D85251">
      <w:r>
        <w:separator/>
      </w:r>
    </w:p>
  </w:endnote>
  <w:endnote w:type="continuationSeparator" w:id="0">
    <w:p w14:paraId="1CC4DAB7" w14:textId="77777777" w:rsidR="007E4A8C" w:rsidRDefault="007E4A8C" w:rsidP="00D85251">
      <w:r>
        <w:continuationSeparator/>
      </w:r>
    </w:p>
  </w:endnote>
  <w:endnote w:type="continuationNotice" w:id="1">
    <w:p w14:paraId="0155795C" w14:textId="77777777" w:rsidR="007E4A8C" w:rsidRDefault="007E4A8C"/>
  </w:endnote>
  <w:endnote w:id="2">
    <w:p w14:paraId="31633141" w14:textId="58FE7DF8" w:rsidR="00793495" w:rsidRDefault="00793495">
      <w:pPr>
        <w:pStyle w:val="EndnoteText"/>
      </w:pPr>
      <w:r>
        <w:rPr>
          <w:rStyle w:val="EndnoteReference"/>
        </w:rPr>
        <w:endnoteRef/>
      </w:r>
      <w:r>
        <w:t xml:space="preserve"> </w:t>
      </w:r>
      <w:r w:rsidR="003A0E77">
        <w:t>DF</w:t>
      </w:r>
      <w:r w:rsidR="00AA2D2D">
        <w:t>A</w:t>
      </w:r>
      <w:r w:rsidR="003A0E77">
        <w:t xml:space="preserve">T (2023), </w:t>
      </w:r>
      <w:r w:rsidR="003A0E77" w:rsidRPr="003A794B">
        <w:rPr>
          <w:i/>
          <w:iCs/>
        </w:rPr>
        <w:t>Australia’s International Development Policy</w:t>
      </w:r>
      <w:r w:rsidR="003A794B">
        <w:t>.</w:t>
      </w:r>
    </w:p>
  </w:endnote>
  <w:endnote w:id="3">
    <w:p w14:paraId="0F314C17" w14:textId="31B74B08" w:rsidR="00AA2D2D" w:rsidRDefault="00AA2D2D">
      <w:pPr>
        <w:pStyle w:val="EndnoteText"/>
      </w:pPr>
      <w:r>
        <w:rPr>
          <w:rStyle w:val="EndnoteReference"/>
        </w:rPr>
        <w:endnoteRef/>
      </w:r>
      <w:r>
        <w:t xml:space="preserve"> Ibid</w:t>
      </w:r>
    </w:p>
  </w:endnote>
  <w:endnote w:id="4">
    <w:p w14:paraId="745DC50B" w14:textId="45C7DBFD" w:rsidR="00F6397E" w:rsidRDefault="00F6397E">
      <w:pPr>
        <w:pStyle w:val="EndnoteText"/>
      </w:pPr>
      <w:r>
        <w:rPr>
          <w:rStyle w:val="EndnoteReference"/>
        </w:rPr>
        <w:endnoteRef/>
      </w:r>
      <w:r>
        <w:t xml:space="preserve"> ADDC (2023), </w:t>
      </w:r>
      <w:r w:rsidRPr="003A794B">
        <w:rPr>
          <w:i/>
          <w:iCs/>
        </w:rPr>
        <w:t>Joint call for action on disability equity and rights in Australia’s International Development program</w:t>
      </w:r>
      <w:r>
        <w:t xml:space="preserve">, accessed </w:t>
      </w:r>
      <w:r w:rsidRPr="00F6397E">
        <w:rPr>
          <w:rStyle w:val="Hyperlink"/>
        </w:rPr>
        <w:t>https://www.addc.org.au/disability-equity-and-rights-strategy/</w:t>
      </w:r>
    </w:p>
  </w:endnote>
  <w:endnote w:id="5">
    <w:p w14:paraId="17A74B89" w14:textId="3FBBD7BC" w:rsidR="00062255" w:rsidRDefault="00062255">
      <w:pPr>
        <w:pStyle w:val="EndnoteText"/>
      </w:pPr>
      <w:r>
        <w:rPr>
          <w:rStyle w:val="EndnoteReference"/>
        </w:rPr>
        <w:endnoteRef/>
      </w:r>
      <w:r>
        <w:t xml:space="preserve"> </w:t>
      </w:r>
      <w:r w:rsidRPr="00D053F9">
        <w:t xml:space="preserve">Pacific Disability Forum (2024), </w:t>
      </w:r>
      <w:r w:rsidRPr="00D053F9">
        <w:rPr>
          <w:i/>
          <w:iCs/>
        </w:rPr>
        <w:t xml:space="preserve">Pacific Disability Forum Submission to Australia’s International Disability Equity &amp; Rights Strategy, </w:t>
      </w:r>
      <w:hyperlink r:id="rId1" w:history="1">
        <w:r w:rsidRPr="00D053F9">
          <w:rPr>
            <w:rStyle w:val="Hyperlink"/>
          </w:rPr>
          <w:t>https://pacificdisability.org/wp-content/uploads/2024/01/Pacific-Disability-Forum_IDEARS-Submission_FINAL_Jan-10_2024.pdf</w:t>
        </w:r>
      </w:hyperlink>
      <w:r w:rsidRPr="00D053F9">
        <w:t>.</w:t>
      </w:r>
    </w:p>
  </w:endnote>
  <w:endnote w:id="6">
    <w:p w14:paraId="4815FAF1" w14:textId="2F654FE3" w:rsidR="00AE2EA1" w:rsidRDefault="00AE2EA1">
      <w:pPr>
        <w:pStyle w:val="EndnoteText"/>
      </w:pPr>
      <w:r>
        <w:rPr>
          <w:rStyle w:val="EndnoteReference"/>
        </w:rPr>
        <w:endnoteRef/>
      </w:r>
      <w:r>
        <w:t xml:space="preserve"> </w:t>
      </w:r>
      <w:r w:rsidRPr="00AE2EA1">
        <w:t xml:space="preserve">UNOHCRH (2016), </w:t>
      </w:r>
      <w:hyperlink r:id="rId2" w:history="1">
        <w:r w:rsidRPr="00AE2EA1">
          <w:rPr>
            <w:rStyle w:val="Hyperlink"/>
            <w:i/>
            <w:iCs/>
          </w:rPr>
          <w:t>A/71/314: Report on Disability-Inclusive Policies</w:t>
        </w:r>
      </w:hyperlink>
      <w:r w:rsidRPr="00AE2EA1">
        <w:t>.</w:t>
      </w:r>
    </w:p>
  </w:endnote>
  <w:endnote w:id="7">
    <w:p w14:paraId="3B7D815A" w14:textId="10FCF00E" w:rsidR="00F44F90" w:rsidRDefault="00F44F90">
      <w:pPr>
        <w:pStyle w:val="EndnoteText"/>
      </w:pPr>
      <w:r>
        <w:rPr>
          <w:rStyle w:val="EndnoteReference"/>
        </w:rPr>
        <w:endnoteRef/>
      </w:r>
      <w:r>
        <w:t xml:space="preserve"> Three examples of this are: </w:t>
      </w:r>
      <w:hyperlink r:id="rId3" w:tgtFrame="_blank" w:history="1">
        <w:r w:rsidRPr="00F44F90">
          <w:rPr>
            <w:rStyle w:val="Hyperlink"/>
          </w:rPr>
          <w:t>video from the Samoa Mobility Device Service</w:t>
        </w:r>
      </w:hyperlink>
      <w:r w:rsidRPr="00F44F90">
        <w:t>, this </w:t>
      </w:r>
      <w:proofErr w:type="spellStart"/>
      <w:r w:rsidRPr="00F44F90">
        <w:fldChar w:fldCharType="begin"/>
      </w:r>
      <w:r w:rsidRPr="00F44F90">
        <w:instrText>HYPERLINK "https://apps.who.int/iris/bitstream/handle/10665/330372/9789240000261-eng.pdf" \t "_blank"</w:instrText>
      </w:r>
      <w:r w:rsidRPr="00F44F90">
        <w:fldChar w:fldCharType="separate"/>
      </w:r>
      <w:r w:rsidRPr="00F44F90">
        <w:rPr>
          <w:rStyle w:val="Hyperlink"/>
        </w:rPr>
        <w:t>GReAT</w:t>
      </w:r>
      <w:proofErr w:type="spellEnd"/>
      <w:r w:rsidRPr="00F44F90">
        <w:rPr>
          <w:rStyle w:val="Hyperlink"/>
        </w:rPr>
        <w:t xml:space="preserve"> summit paper</w:t>
      </w:r>
      <w:r w:rsidRPr="00F44F90">
        <w:fldChar w:fldCharType="end"/>
      </w:r>
      <w:r w:rsidRPr="00F44F90">
        <w:t> (p. 208) and </w:t>
      </w:r>
      <w:hyperlink r:id="rId4" w:tgtFrame="_blank" w:history="1">
        <w:r w:rsidRPr="00F44F90">
          <w:rPr>
            <w:rStyle w:val="Hyperlink"/>
          </w:rPr>
          <w:t>DFAT performance report from Tonga</w:t>
        </w:r>
      </w:hyperlink>
      <w:r w:rsidRPr="00F44F90">
        <w:t>.</w:t>
      </w:r>
    </w:p>
  </w:endnote>
  <w:endnote w:id="8">
    <w:p w14:paraId="5CDFDBC8" w14:textId="72772A15" w:rsidR="00073FB1" w:rsidRDefault="00073FB1">
      <w:pPr>
        <w:pStyle w:val="EndnoteText"/>
      </w:pPr>
      <w:r>
        <w:rPr>
          <w:rStyle w:val="EndnoteReference"/>
        </w:rPr>
        <w:endnoteRef/>
      </w:r>
      <w:r>
        <w:t xml:space="preserve"> </w:t>
      </w:r>
      <w:r w:rsidR="003F2121">
        <w:t>TCI (2022)</w:t>
      </w:r>
      <w:r w:rsidR="00A21FC0">
        <w:t xml:space="preserve">, </w:t>
      </w:r>
      <w:r w:rsidR="00A21FC0" w:rsidRPr="003A794B">
        <w:rPr>
          <w:i/>
          <w:iCs/>
        </w:rPr>
        <w:t>TCI Positionality on Community Inclusion</w:t>
      </w:r>
      <w:r w:rsidR="00A21FC0" w:rsidRPr="00A21FC0">
        <w:t>, accessed</w:t>
      </w:r>
      <w:r w:rsidR="00A868F0">
        <w:t xml:space="preserve"> </w:t>
      </w:r>
      <w:hyperlink r:id="rId5" w:history="1">
        <w:r w:rsidR="00A868F0" w:rsidRPr="00A20100">
          <w:rPr>
            <w:rStyle w:val="Hyperlink"/>
          </w:rPr>
          <w:t>https://whatweneed.tci-global.org/tci-positionality-on-community-inclusion-2022/</w:t>
        </w:r>
      </w:hyperlink>
      <w:r w:rsidR="00A868F0">
        <w:t xml:space="preserve">; </w:t>
      </w:r>
      <w:r w:rsidR="00A868F0" w:rsidRPr="00D053F9">
        <w:t>Pacific Disability Forum (2024)</w:t>
      </w:r>
    </w:p>
  </w:endnote>
  <w:endnote w:id="9">
    <w:p w14:paraId="7E413CB6" w14:textId="0403BAA2" w:rsidR="00D053F9" w:rsidRDefault="00D053F9">
      <w:pPr>
        <w:pStyle w:val="EndnoteText"/>
      </w:pPr>
      <w:r>
        <w:rPr>
          <w:rStyle w:val="EndnoteReference"/>
        </w:rPr>
        <w:endnoteRef/>
      </w:r>
      <w:r>
        <w:t xml:space="preserve"> </w:t>
      </w:r>
      <w:r w:rsidRPr="00D053F9">
        <w:t>Pacific Disability Forum (2024</w:t>
      </w:r>
      <w:r w:rsidR="00062255">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Yu Mincho">
    <w:altName w:val="Yu Gothic"/>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39221710"/>
      <w:docPartObj>
        <w:docPartGallery w:val="Page Numbers (Bottom of Page)"/>
        <w:docPartUnique/>
      </w:docPartObj>
    </w:sdtPr>
    <w:sdtEndPr>
      <w:rPr>
        <w:noProof/>
      </w:rPr>
    </w:sdtEndPr>
    <w:sdtContent>
      <w:p w14:paraId="164A5F14" w14:textId="50B2520C" w:rsidR="00E85F51" w:rsidRPr="00E85F51" w:rsidRDefault="00E85F51">
        <w:pPr>
          <w:pStyle w:val="Footer"/>
          <w:jc w:val="right"/>
          <w:rPr>
            <w:sz w:val="18"/>
            <w:szCs w:val="18"/>
          </w:rPr>
        </w:pPr>
        <w:r w:rsidRPr="00E85F51">
          <w:rPr>
            <w:sz w:val="18"/>
            <w:szCs w:val="18"/>
          </w:rPr>
          <w:fldChar w:fldCharType="begin"/>
        </w:r>
        <w:r w:rsidRPr="00E85F51">
          <w:rPr>
            <w:sz w:val="18"/>
            <w:szCs w:val="18"/>
          </w:rPr>
          <w:instrText xml:space="preserve"> PAGE   \* MERGEFORMAT </w:instrText>
        </w:r>
        <w:r w:rsidRPr="00E85F51">
          <w:rPr>
            <w:sz w:val="18"/>
            <w:szCs w:val="18"/>
          </w:rPr>
          <w:fldChar w:fldCharType="separate"/>
        </w:r>
        <w:r w:rsidRPr="00E85F51">
          <w:rPr>
            <w:noProof/>
            <w:sz w:val="18"/>
            <w:szCs w:val="18"/>
          </w:rPr>
          <w:t>2</w:t>
        </w:r>
        <w:r w:rsidRPr="00E85F51">
          <w:rPr>
            <w:noProof/>
            <w:sz w:val="18"/>
            <w:szCs w:val="18"/>
          </w:rPr>
          <w:fldChar w:fldCharType="end"/>
        </w:r>
      </w:p>
    </w:sdtContent>
  </w:sdt>
  <w:p w14:paraId="6F102A10" w14:textId="77777777" w:rsidR="00E85F51" w:rsidRPr="00E85F51" w:rsidRDefault="00E85F5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7DE8" w14:textId="77777777" w:rsidR="007E4A8C" w:rsidRDefault="007E4A8C" w:rsidP="00D85251">
      <w:r>
        <w:separator/>
      </w:r>
    </w:p>
  </w:footnote>
  <w:footnote w:type="continuationSeparator" w:id="0">
    <w:p w14:paraId="06D7BC73" w14:textId="77777777" w:rsidR="007E4A8C" w:rsidRDefault="007E4A8C" w:rsidP="00D85251">
      <w:r>
        <w:continuationSeparator/>
      </w:r>
    </w:p>
  </w:footnote>
  <w:footnote w:type="continuationNotice" w:id="1">
    <w:p w14:paraId="4FAD5DA3" w14:textId="77777777" w:rsidR="007E4A8C" w:rsidRDefault="007E4A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EC7"/>
    <w:multiLevelType w:val="multilevel"/>
    <w:tmpl w:val="234A3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2E61A8"/>
    <w:multiLevelType w:val="multilevel"/>
    <w:tmpl w:val="84AAE16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8362E4"/>
    <w:multiLevelType w:val="multilevel"/>
    <w:tmpl w:val="0C2442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937E20"/>
    <w:multiLevelType w:val="hybridMultilevel"/>
    <w:tmpl w:val="D85CF17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B365999"/>
    <w:multiLevelType w:val="multilevel"/>
    <w:tmpl w:val="131C89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C4DDD"/>
    <w:multiLevelType w:val="hybridMultilevel"/>
    <w:tmpl w:val="CDFE08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3450250"/>
    <w:multiLevelType w:val="multilevel"/>
    <w:tmpl w:val="B30C6D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962415"/>
    <w:multiLevelType w:val="hybridMultilevel"/>
    <w:tmpl w:val="C8FE3B36"/>
    <w:lvl w:ilvl="0" w:tplc="0C090019">
      <w:start w:val="1"/>
      <w:numFmt w:val="lowerLetter"/>
      <w:lvlText w:val="%1."/>
      <w:lvlJc w:val="left"/>
      <w:pPr>
        <w:ind w:left="1778" w:hanging="360"/>
      </w:pPr>
    </w:lvl>
    <w:lvl w:ilvl="1" w:tplc="0C090019">
      <w:start w:val="1"/>
      <w:numFmt w:val="lowerLetter"/>
      <w:lvlText w:val="%2."/>
      <w:lvlJc w:val="left"/>
      <w:pPr>
        <w:ind w:left="2498" w:hanging="360"/>
      </w:pPr>
    </w:lvl>
    <w:lvl w:ilvl="2" w:tplc="0C09001B">
      <w:start w:val="1"/>
      <w:numFmt w:val="lowerRoman"/>
      <w:lvlText w:val="%3."/>
      <w:lvlJc w:val="right"/>
      <w:pPr>
        <w:ind w:left="3218" w:hanging="180"/>
      </w:pPr>
    </w:lvl>
    <w:lvl w:ilvl="3" w:tplc="0C09000F">
      <w:start w:val="1"/>
      <w:numFmt w:val="decimal"/>
      <w:lvlText w:val="%4."/>
      <w:lvlJc w:val="left"/>
      <w:pPr>
        <w:ind w:left="3938" w:hanging="360"/>
      </w:pPr>
    </w:lvl>
    <w:lvl w:ilvl="4" w:tplc="0C090019">
      <w:start w:val="1"/>
      <w:numFmt w:val="lowerLetter"/>
      <w:lvlText w:val="%5."/>
      <w:lvlJc w:val="left"/>
      <w:pPr>
        <w:ind w:left="4658" w:hanging="360"/>
      </w:pPr>
    </w:lvl>
    <w:lvl w:ilvl="5" w:tplc="0C09001B">
      <w:start w:val="1"/>
      <w:numFmt w:val="lowerRoman"/>
      <w:lvlText w:val="%6."/>
      <w:lvlJc w:val="right"/>
      <w:pPr>
        <w:ind w:left="5378" w:hanging="180"/>
      </w:pPr>
    </w:lvl>
    <w:lvl w:ilvl="6" w:tplc="0C09000F">
      <w:start w:val="1"/>
      <w:numFmt w:val="decimal"/>
      <w:lvlText w:val="%7."/>
      <w:lvlJc w:val="left"/>
      <w:pPr>
        <w:ind w:left="6098" w:hanging="360"/>
      </w:pPr>
    </w:lvl>
    <w:lvl w:ilvl="7" w:tplc="0C090019">
      <w:start w:val="1"/>
      <w:numFmt w:val="lowerLetter"/>
      <w:lvlText w:val="%8."/>
      <w:lvlJc w:val="left"/>
      <w:pPr>
        <w:ind w:left="6818" w:hanging="360"/>
      </w:pPr>
    </w:lvl>
    <w:lvl w:ilvl="8" w:tplc="0C09001B">
      <w:start w:val="1"/>
      <w:numFmt w:val="lowerRoman"/>
      <w:lvlText w:val="%9."/>
      <w:lvlJc w:val="right"/>
      <w:pPr>
        <w:ind w:left="7538" w:hanging="180"/>
      </w:pPr>
    </w:lvl>
  </w:abstractNum>
  <w:abstractNum w:abstractNumId="8" w15:restartNumberingAfterBreak="0">
    <w:nsid w:val="19394BFE"/>
    <w:multiLevelType w:val="multilevel"/>
    <w:tmpl w:val="10FCF3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5242158"/>
    <w:multiLevelType w:val="hybridMultilevel"/>
    <w:tmpl w:val="D85CF176"/>
    <w:lvl w:ilvl="0" w:tplc="8D58077E">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5D5720D"/>
    <w:multiLevelType w:val="multilevel"/>
    <w:tmpl w:val="34E6A25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7031F96"/>
    <w:multiLevelType w:val="hybridMultilevel"/>
    <w:tmpl w:val="674680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C17803"/>
    <w:multiLevelType w:val="hybridMultilevel"/>
    <w:tmpl w:val="C76059EE"/>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3D6D53CC"/>
    <w:multiLevelType w:val="hybridMultilevel"/>
    <w:tmpl w:val="FFFFFFFF"/>
    <w:lvl w:ilvl="0" w:tplc="8696D278">
      <w:start w:val="2"/>
      <w:numFmt w:val="decimal"/>
      <w:lvlText w:val="%1."/>
      <w:lvlJc w:val="left"/>
      <w:pPr>
        <w:ind w:left="720" w:hanging="360"/>
      </w:pPr>
    </w:lvl>
    <w:lvl w:ilvl="1" w:tplc="C03C35C2">
      <w:start w:val="1"/>
      <w:numFmt w:val="lowerLetter"/>
      <w:lvlText w:val="%2."/>
      <w:lvlJc w:val="left"/>
      <w:pPr>
        <w:ind w:left="1440" w:hanging="360"/>
      </w:pPr>
    </w:lvl>
    <w:lvl w:ilvl="2" w:tplc="A4609608">
      <w:start w:val="1"/>
      <w:numFmt w:val="lowerRoman"/>
      <w:lvlText w:val="%3."/>
      <w:lvlJc w:val="right"/>
      <w:pPr>
        <w:ind w:left="2160" w:hanging="180"/>
      </w:pPr>
    </w:lvl>
    <w:lvl w:ilvl="3" w:tplc="43E28354">
      <w:start w:val="1"/>
      <w:numFmt w:val="decimal"/>
      <w:lvlText w:val="%4."/>
      <w:lvlJc w:val="left"/>
      <w:pPr>
        <w:ind w:left="2880" w:hanging="360"/>
      </w:pPr>
    </w:lvl>
    <w:lvl w:ilvl="4" w:tplc="C85298F6">
      <w:start w:val="1"/>
      <w:numFmt w:val="lowerLetter"/>
      <w:lvlText w:val="%5."/>
      <w:lvlJc w:val="left"/>
      <w:pPr>
        <w:ind w:left="3600" w:hanging="360"/>
      </w:pPr>
    </w:lvl>
    <w:lvl w:ilvl="5" w:tplc="7A9E8010">
      <w:start w:val="1"/>
      <w:numFmt w:val="lowerRoman"/>
      <w:lvlText w:val="%6."/>
      <w:lvlJc w:val="right"/>
      <w:pPr>
        <w:ind w:left="4320" w:hanging="180"/>
      </w:pPr>
    </w:lvl>
    <w:lvl w:ilvl="6" w:tplc="632AA734">
      <w:start w:val="1"/>
      <w:numFmt w:val="decimal"/>
      <w:lvlText w:val="%7."/>
      <w:lvlJc w:val="left"/>
      <w:pPr>
        <w:ind w:left="5040" w:hanging="360"/>
      </w:pPr>
    </w:lvl>
    <w:lvl w:ilvl="7" w:tplc="274046C4">
      <w:start w:val="1"/>
      <w:numFmt w:val="lowerLetter"/>
      <w:lvlText w:val="%8."/>
      <w:lvlJc w:val="left"/>
      <w:pPr>
        <w:ind w:left="5760" w:hanging="360"/>
      </w:pPr>
    </w:lvl>
    <w:lvl w:ilvl="8" w:tplc="38AECF1E">
      <w:start w:val="1"/>
      <w:numFmt w:val="lowerRoman"/>
      <w:lvlText w:val="%9."/>
      <w:lvlJc w:val="right"/>
      <w:pPr>
        <w:ind w:left="6480" w:hanging="180"/>
      </w:pPr>
    </w:lvl>
  </w:abstractNum>
  <w:abstractNum w:abstractNumId="14" w15:restartNumberingAfterBreak="0">
    <w:nsid w:val="3DAC2652"/>
    <w:multiLevelType w:val="hybridMultilevel"/>
    <w:tmpl w:val="829AF3D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3EFC1AD8"/>
    <w:multiLevelType w:val="multilevel"/>
    <w:tmpl w:val="14CE95A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4B93A5B"/>
    <w:multiLevelType w:val="hybridMultilevel"/>
    <w:tmpl w:val="E362B9A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496203D4"/>
    <w:multiLevelType w:val="hybridMultilevel"/>
    <w:tmpl w:val="8124CAC2"/>
    <w:lvl w:ilvl="0" w:tplc="189EE04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C06FA9"/>
    <w:multiLevelType w:val="hybridMultilevel"/>
    <w:tmpl w:val="F0B6F5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D8B5CA7"/>
    <w:multiLevelType w:val="multilevel"/>
    <w:tmpl w:val="8D9E59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E8A27C0"/>
    <w:multiLevelType w:val="multilevel"/>
    <w:tmpl w:val="37FAFDF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42115A4"/>
    <w:multiLevelType w:val="multilevel"/>
    <w:tmpl w:val="F5EAD1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659E208C"/>
    <w:multiLevelType w:val="hybridMultilevel"/>
    <w:tmpl w:val="674680FC"/>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F34C9F"/>
    <w:multiLevelType w:val="multilevel"/>
    <w:tmpl w:val="82EC2C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E87136B"/>
    <w:multiLevelType w:val="multilevel"/>
    <w:tmpl w:val="4830AE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1784690"/>
    <w:multiLevelType w:val="multilevel"/>
    <w:tmpl w:val="8A22A2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A752750"/>
    <w:multiLevelType w:val="hybridMultilevel"/>
    <w:tmpl w:val="5FE65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E40DB9"/>
    <w:multiLevelType w:val="multilevel"/>
    <w:tmpl w:val="5720FC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53237694">
    <w:abstractNumId w:val="13"/>
  </w:num>
  <w:num w:numId="2" w16cid:durableId="378894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888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075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6479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0200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0834517">
    <w:abstractNumId w:val="17"/>
  </w:num>
  <w:num w:numId="8" w16cid:durableId="567229715">
    <w:abstractNumId w:val="22"/>
  </w:num>
  <w:num w:numId="9" w16cid:durableId="1775517511">
    <w:abstractNumId w:val="26"/>
  </w:num>
  <w:num w:numId="10" w16cid:durableId="1708991141">
    <w:abstractNumId w:val="7"/>
  </w:num>
  <w:num w:numId="11" w16cid:durableId="1677491279">
    <w:abstractNumId w:val="16"/>
  </w:num>
  <w:num w:numId="12" w16cid:durableId="1959330537">
    <w:abstractNumId w:val="11"/>
  </w:num>
  <w:num w:numId="13" w16cid:durableId="585531204">
    <w:abstractNumId w:val="6"/>
  </w:num>
  <w:num w:numId="14" w16cid:durableId="628784233">
    <w:abstractNumId w:val="23"/>
  </w:num>
  <w:num w:numId="15" w16cid:durableId="1955671424">
    <w:abstractNumId w:val="27"/>
  </w:num>
  <w:num w:numId="16" w16cid:durableId="44447538">
    <w:abstractNumId w:val="1"/>
  </w:num>
  <w:num w:numId="17" w16cid:durableId="1250886897">
    <w:abstractNumId w:val="20"/>
  </w:num>
  <w:num w:numId="18" w16cid:durableId="1701855418">
    <w:abstractNumId w:val="0"/>
  </w:num>
  <w:num w:numId="19" w16cid:durableId="395401371">
    <w:abstractNumId w:val="8"/>
  </w:num>
  <w:num w:numId="20" w16cid:durableId="596449784">
    <w:abstractNumId w:val="25"/>
  </w:num>
  <w:num w:numId="21" w16cid:durableId="153956986">
    <w:abstractNumId w:val="2"/>
  </w:num>
  <w:num w:numId="22" w16cid:durableId="772701493">
    <w:abstractNumId w:val="10"/>
  </w:num>
  <w:num w:numId="23" w16cid:durableId="321660722">
    <w:abstractNumId w:val="18"/>
  </w:num>
  <w:num w:numId="24" w16cid:durableId="2096437098">
    <w:abstractNumId w:val="4"/>
  </w:num>
  <w:num w:numId="25" w16cid:durableId="802309937">
    <w:abstractNumId w:val="24"/>
  </w:num>
  <w:num w:numId="26" w16cid:durableId="531304064">
    <w:abstractNumId w:val="19"/>
  </w:num>
  <w:num w:numId="27" w16cid:durableId="1119421034">
    <w:abstractNumId w:val="21"/>
  </w:num>
  <w:num w:numId="28" w16cid:durableId="241571569">
    <w:abstractNumId w:val="15"/>
  </w:num>
  <w:num w:numId="29" w16cid:durableId="884178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EE"/>
    <w:rsid w:val="000118A0"/>
    <w:rsid w:val="0001357F"/>
    <w:rsid w:val="00017FD2"/>
    <w:rsid w:val="00022BF7"/>
    <w:rsid w:val="000254BF"/>
    <w:rsid w:val="00027A70"/>
    <w:rsid w:val="000306BC"/>
    <w:rsid w:val="000367D8"/>
    <w:rsid w:val="00036F31"/>
    <w:rsid w:val="00041121"/>
    <w:rsid w:val="00044F4E"/>
    <w:rsid w:val="000461FE"/>
    <w:rsid w:val="00062255"/>
    <w:rsid w:val="00063153"/>
    <w:rsid w:val="00073FB1"/>
    <w:rsid w:val="00075162"/>
    <w:rsid w:val="000837DB"/>
    <w:rsid w:val="000A4FA4"/>
    <w:rsid w:val="000B4097"/>
    <w:rsid w:val="000B58F6"/>
    <w:rsid w:val="000E0BA0"/>
    <w:rsid w:val="000F54C5"/>
    <w:rsid w:val="001124FD"/>
    <w:rsid w:val="0013256F"/>
    <w:rsid w:val="0013515D"/>
    <w:rsid w:val="0015589D"/>
    <w:rsid w:val="00176DCA"/>
    <w:rsid w:val="00183675"/>
    <w:rsid w:val="00194E7E"/>
    <w:rsid w:val="001A1633"/>
    <w:rsid w:val="001A3AAE"/>
    <w:rsid w:val="001B1172"/>
    <w:rsid w:val="001B2307"/>
    <w:rsid w:val="001C4D91"/>
    <w:rsid w:val="001D1617"/>
    <w:rsid w:val="001F4718"/>
    <w:rsid w:val="00213D7A"/>
    <w:rsid w:val="002167E7"/>
    <w:rsid w:val="002207A0"/>
    <w:rsid w:val="002208EE"/>
    <w:rsid w:val="0022301F"/>
    <w:rsid w:val="00223103"/>
    <w:rsid w:val="00227235"/>
    <w:rsid w:val="00261B84"/>
    <w:rsid w:val="0026445C"/>
    <w:rsid w:val="00280260"/>
    <w:rsid w:val="00287BFD"/>
    <w:rsid w:val="00293F67"/>
    <w:rsid w:val="002B6971"/>
    <w:rsid w:val="002C52A9"/>
    <w:rsid w:val="002C6EFD"/>
    <w:rsid w:val="002D426D"/>
    <w:rsid w:val="002F7238"/>
    <w:rsid w:val="00304E88"/>
    <w:rsid w:val="003303B7"/>
    <w:rsid w:val="00333E25"/>
    <w:rsid w:val="003432E7"/>
    <w:rsid w:val="00355E3C"/>
    <w:rsid w:val="00377F93"/>
    <w:rsid w:val="0038209B"/>
    <w:rsid w:val="00382AB2"/>
    <w:rsid w:val="00387342"/>
    <w:rsid w:val="00387F48"/>
    <w:rsid w:val="00390199"/>
    <w:rsid w:val="003A0E77"/>
    <w:rsid w:val="003A794B"/>
    <w:rsid w:val="003C10B6"/>
    <w:rsid w:val="003C5093"/>
    <w:rsid w:val="003D1EA7"/>
    <w:rsid w:val="003E565D"/>
    <w:rsid w:val="003F2121"/>
    <w:rsid w:val="00410343"/>
    <w:rsid w:val="00411D9B"/>
    <w:rsid w:val="00413FFC"/>
    <w:rsid w:val="00415F5A"/>
    <w:rsid w:val="00416499"/>
    <w:rsid w:val="00434521"/>
    <w:rsid w:val="00437310"/>
    <w:rsid w:val="00441AC3"/>
    <w:rsid w:val="0044316C"/>
    <w:rsid w:val="00446812"/>
    <w:rsid w:val="0045334C"/>
    <w:rsid w:val="00465C27"/>
    <w:rsid w:val="004948E7"/>
    <w:rsid w:val="004A499E"/>
    <w:rsid w:val="004C60AD"/>
    <w:rsid w:val="004E0DC5"/>
    <w:rsid w:val="004E1E4E"/>
    <w:rsid w:val="004F7B48"/>
    <w:rsid w:val="00505016"/>
    <w:rsid w:val="0050644C"/>
    <w:rsid w:val="005261A6"/>
    <w:rsid w:val="005324D6"/>
    <w:rsid w:val="00543F81"/>
    <w:rsid w:val="00543FDF"/>
    <w:rsid w:val="00555AA9"/>
    <w:rsid w:val="00564375"/>
    <w:rsid w:val="005900C4"/>
    <w:rsid w:val="00594E65"/>
    <w:rsid w:val="00597DF9"/>
    <w:rsid w:val="005A0C49"/>
    <w:rsid w:val="005C6538"/>
    <w:rsid w:val="005D30D8"/>
    <w:rsid w:val="005D41AA"/>
    <w:rsid w:val="005E50E4"/>
    <w:rsid w:val="005F2300"/>
    <w:rsid w:val="006108B6"/>
    <w:rsid w:val="006162DE"/>
    <w:rsid w:val="00621BFE"/>
    <w:rsid w:val="006247B6"/>
    <w:rsid w:val="006547C3"/>
    <w:rsid w:val="006A2A5B"/>
    <w:rsid w:val="006A2D45"/>
    <w:rsid w:val="006B4C28"/>
    <w:rsid w:val="006D4F92"/>
    <w:rsid w:val="006D7A88"/>
    <w:rsid w:val="006E1D1E"/>
    <w:rsid w:val="006E2A6D"/>
    <w:rsid w:val="006E7612"/>
    <w:rsid w:val="006F2DBD"/>
    <w:rsid w:val="006F52AC"/>
    <w:rsid w:val="006F648E"/>
    <w:rsid w:val="00743DE3"/>
    <w:rsid w:val="00755CD3"/>
    <w:rsid w:val="00755F06"/>
    <w:rsid w:val="00793495"/>
    <w:rsid w:val="007A02B2"/>
    <w:rsid w:val="007B6E46"/>
    <w:rsid w:val="007C2B09"/>
    <w:rsid w:val="007E4A8C"/>
    <w:rsid w:val="00801CA9"/>
    <w:rsid w:val="00807B9F"/>
    <w:rsid w:val="00810326"/>
    <w:rsid w:val="008135CD"/>
    <w:rsid w:val="00824393"/>
    <w:rsid w:val="00852193"/>
    <w:rsid w:val="008660C5"/>
    <w:rsid w:val="0089524F"/>
    <w:rsid w:val="008B0D4A"/>
    <w:rsid w:val="008C16AE"/>
    <w:rsid w:val="008C63B4"/>
    <w:rsid w:val="008F08CA"/>
    <w:rsid w:val="008F7B25"/>
    <w:rsid w:val="00936230"/>
    <w:rsid w:val="00936748"/>
    <w:rsid w:val="0095064D"/>
    <w:rsid w:val="009518D3"/>
    <w:rsid w:val="00962D9E"/>
    <w:rsid w:val="00963F8A"/>
    <w:rsid w:val="00963FBC"/>
    <w:rsid w:val="0097094F"/>
    <w:rsid w:val="00971DAA"/>
    <w:rsid w:val="009A3E9B"/>
    <w:rsid w:val="009B1278"/>
    <w:rsid w:val="009D7193"/>
    <w:rsid w:val="009F0F35"/>
    <w:rsid w:val="00A21FC0"/>
    <w:rsid w:val="00A24FC3"/>
    <w:rsid w:val="00A27415"/>
    <w:rsid w:val="00A32995"/>
    <w:rsid w:val="00A36229"/>
    <w:rsid w:val="00A37368"/>
    <w:rsid w:val="00A44B0D"/>
    <w:rsid w:val="00A51626"/>
    <w:rsid w:val="00A563FA"/>
    <w:rsid w:val="00A753AA"/>
    <w:rsid w:val="00A83F17"/>
    <w:rsid w:val="00A868F0"/>
    <w:rsid w:val="00A86C56"/>
    <w:rsid w:val="00AA2D2D"/>
    <w:rsid w:val="00AA49DA"/>
    <w:rsid w:val="00AB5451"/>
    <w:rsid w:val="00AC41CC"/>
    <w:rsid w:val="00AC76F0"/>
    <w:rsid w:val="00AE05B8"/>
    <w:rsid w:val="00AE1673"/>
    <w:rsid w:val="00AE2EA1"/>
    <w:rsid w:val="00AE65E0"/>
    <w:rsid w:val="00AF7930"/>
    <w:rsid w:val="00B00247"/>
    <w:rsid w:val="00B0069E"/>
    <w:rsid w:val="00B21636"/>
    <w:rsid w:val="00B5477C"/>
    <w:rsid w:val="00B65ED8"/>
    <w:rsid w:val="00B96BBB"/>
    <w:rsid w:val="00BA5E59"/>
    <w:rsid w:val="00BC203D"/>
    <w:rsid w:val="00BC3A6F"/>
    <w:rsid w:val="00BF2F66"/>
    <w:rsid w:val="00C146D3"/>
    <w:rsid w:val="00C24733"/>
    <w:rsid w:val="00C553FB"/>
    <w:rsid w:val="00C96935"/>
    <w:rsid w:val="00CA3990"/>
    <w:rsid w:val="00CA4DEE"/>
    <w:rsid w:val="00CB35CE"/>
    <w:rsid w:val="00CB5287"/>
    <w:rsid w:val="00CC0E4D"/>
    <w:rsid w:val="00CC5EBA"/>
    <w:rsid w:val="00CE3DDD"/>
    <w:rsid w:val="00D0449D"/>
    <w:rsid w:val="00D053F9"/>
    <w:rsid w:val="00D12305"/>
    <w:rsid w:val="00D1372A"/>
    <w:rsid w:val="00D2179F"/>
    <w:rsid w:val="00D64EDB"/>
    <w:rsid w:val="00D6622E"/>
    <w:rsid w:val="00D74EE6"/>
    <w:rsid w:val="00D85251"/>
    <w:rsid w:val="00DB4CAF"/>
    <w:rsid w:val="00DC1123"/>
    <w:rsid w:val="00DD0A0B"/>
    <w:rsid w:val="00E01CD9"/>
    <w:rsid w:val="00E030CF"/>
    <w:rsid w:val="00E05BD2"/>
    <w:rsid w:val="00E07334"/>
    <w:rsid w:val="00E1000B"/>
    <w:rsid w:val="00E11757"/>
    <w:rsid w:val="00E37DD4"/>
    <w:rsid w:val="00E844E9"/>
    <w:rsid w:val="00E85F51"/>
    <w:rsid w:val="00EA3030"/>
    <w:rsid w:val="00EA45E9"/>
    <w:rsid w:val="00EA4AF4"/>
    <w:rsid w:val="00EA7C70"/>
    <w:rsid w:val="00EB58E5"/>
    <w:rsid w:val="00EB627C"/>
    <w:rsid w:val="00EE7142"/>
    <w:rsid w:val="00F20804"/>
    <w:rsid w:val="00F20A22"/>
    <w:rsid w:val="00F41FC8"/>
    <w:rsid w:val="00F44F90"/>
    <w:rsid w:val="00F46E44"/>
    <w:rsid w:val="00F6397E"/>
    <w:rsid w:val="00F639A8"/>
    <w:rsid w:val="00F70856"/>
    <w:rsid w:val="00F70EDF"/>
    <w:rsid w:val="00FB5BD4"/>
    <w:rsid w:val="00FD096F"/>
    <w:rsid w:val="00FE58CB"/>
    <w:rsid w:val="00FE6AE4"/>
    <w:rsid w:val="00FF11A0"/>
    <w:rsid w:val="09F20124"/>
    <w:rsid w:val="1176D5D5"/>
    <w:rsid w:val="1BBEB3B9"/>
    <w:rsid w:val="1C89B3C5"/>
    <w:rsid w:val="1FF9BDAA"/>
    <w:rsid w:val="208A8316"/>
    <w:rsid w:val="27D4FEE3"/>
    <w:rsid w:val="27FD3224"/>
    <w:rsid w:val="2AF819ED"/>
    <w:rsid w:val="2F03F8C0"/>
    <w:rsid w:val="310BC50B"/>
    <w:rsid w:val="31CE6B7B"/>
    <w:rsid w:val="321C86B0"/>
    <w:rsid w:val="34CA7C82"/>
    <w:rsid w:val="40E1D719"/>
    <w:rsid w:val="413C81D7"/>
    <w:rsid w:val="42D85238"/>
    <w:rsid w:val="488B5DA6"/>
    <w:rsid w:val="4A446197"/>
    <w:rsid w:val="51C9EF9E"/>
    <w:rsid w:val="5245E1F5"/>
    <w:rsid w:val="53E2EAC9"/>
    <w:rsid w:val="5A346DCC"/>
    <w:rsid w:val="5B57A323"/>
    <w:rsid w:val="63991724"/>
    <w:rsid w:val="65F77AB5"/>
    <w:rsid w:val="66026A72"/>
    <w:rsid w:val="674BECDC"/>
    <w:rsid w:val="71295A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FBCCD"/>
  <w15:chartTrackingRefBased/>
  <w15:docId w15:val="{85EBF99A-FB5C-42C1-ABE5-25A0D081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DEE"/>
    <w:pPr>
      <w:spacing w:after="0" w:line="240" w:lineRule="auto"/>
    </w:pPr>
    <w:rPr>
      <w:rFonts w:ascii="Calibri" w:hAnsi="Calibri" w:cs="Calibri"/>
    </w:rPr>
  </w:style>
  <w:style w:type="paragraph" w:styleId="Heading1">
    <w:name w:val="heading 1"/>
    <w:basedOn w:val="Normal"/>
    <w:next w:val="Normal"/>
    <w:link w:val="Heading1Char"/>
    <w:uiPriority w:val="9"/>
    <w:qFormat/>
    <w:rsid w:val="001B2307"/>
    <w:pPr>
      <w:jc w:val="center"/>
      <w:outlineLvl w:val="0"/>
    </w:pPr>
    <w:rPr>
      <w:b/>
      <w:bCs/>
      <w:color w:val="298386"/>
      <w:sz w:val="32"/>
      <w:szCs w:val="32"/>
      <w:shd w:val="clear" w:color="auto" w:fill="FFFFFF"/>
    </w:rPr>
  </w:style>
  <w:style w:type="paragraph" w:styleId="Heading2">
    <w:name w:val="heading 2"/>
    <w:basedOn w:val="Normal"/>
    <w:next w:val="Normal"/>
    <w:link w:val="Heading2Char"/>
    <w:uiPriority w:val="9"/>
    <w:unhideWhenUsed/>
    <w:qFormat/>
    <w:rsid w:val="001B2307"/>
    <w:pPr>
      <w:spacing w:line="276" w:lineRule="auto"/>
      <w:outlineLvl w:val="1"/>
    </w:pPr>
    <w:rPr>
      <w:b/>
      <w:bCs/>
      <w:color w:val="167A8C"/>
      <w:sz w:val="26"/>
      <w:szCs w:val="26"/>
      <w:shd w:val="clear" w:color="auto" w:fill="FFFFFF"/>
    </w:rPr>
  </w:style>
  <w:style w:type="paragraph" w:styleId="Heading3">
    <w:name w:val="heading 3"/>
    <w:basedOn w:val="Normal"/>
    <w:next w:val="Normal"/>
    <w:link w:val="Heading3Char"/>
    <w:uiPriority w:val="9"/>
    <w:unhideWhenUsed/>
    <w:qFormat/>
    <w:rsid w:val="001B2307"/>
    <w:pPr>
      <w:spacing w:line="276" w:lineRule="auto"/>
      <w:outlineLvl w:val="2"/>
    </w:pPr>
    <w:rPr>
      <w:i/>
      <w:iCs/>
      <w:shd w:val="clear" w:color="auto" w:fill="FFFFFF"/>
    </w:rPr>
  </w:style>
  <w:style w:type="paragraph" w:styleId="Heading4">
    <w:name w:val="heading 4"/>
    <w:basedOn w:val="Heading2"/>
    <w:next w:val="Normal"/>
    <w:link w:val="Heading4Char"/>
    <w:uiPriority w:val="9"/>
    <w:unhideWhenUsed/>
    <w:qFormat/>
    <w:rsid w:val="001B2307"/>
    <w:pPr>
      <w:outlineLvl w:val="3"/>
    </w:pPr>
    <w:rPr>
      <w:sz w:val="24"/>
      <w:szCs w:val="24"/>
    </w:rPr>
  </w:style>
  <w:style w:type="paragraph" w:styleId="Heading5">
    <w:name w:val="heading 5"/>
    <w:basedOn w:val="Normal"/>
    <w:next w:val="Normal"/>
    <w:link w:val="Heading5Char"/>
    <w:uiPriority w:val="9"/>
    <w:unhideWhenUsed/>
    <w:qFormat/>
    <w:rsid w:val="00BC203D"/>
    <w:pPr>
      <w:keepNext/>
      <w:keepLines/>
      <w:spacing w:before="40" w:after="40"/>
      <w:outlineLvl w:val="4"/>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2DB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F2DBD"/>
    <w:rPr>
      <w:rFonts w:ascii="Verdana" w:eastAsiaTheme="majorEastAsia" w:hAnsi="Verdana" w:cstheme="majorBidi"/>
      <w:spacing w:val="-10"/>
      <w:kern w:val="28"/>
      <w:sz w:val="56"/>
      <w:szCs w:val="56"/>
    </w:rPr>
  </w:style>
  <w:style w:type="character" w:customStyle="1" w:styleId="Heading1Char">
    <w:name w:val="Heading 1 Char"/>
    <w:basedOn w:val="DefaultParagraphFont"/>
    <w:link w:val="Heading1"/>
    <w:uiPriority w:val="9"/>
    <w:rsid w:val="001B2307"/>
    <w:rPr>
      <w:rFonts w:ascii="Calibri" w:hAnsi="Calibri" w:cs="Calibri"/>
      <w:b/>
      <w:bCs/>
      <w:color w:val="298386"/>
      <w:sz w:val="32"/>
      <w:szCs w:val="32"/>
    </w:rPr>
  </w:style>
  <w:style w:type="character" w:customStyle="1" w:styleId="Heading2Char">
    <w:name w:val="Heading 2 Char"/>
    <w:basedOn w:val="DefaultParagraphFont"/>
    <w:link w:val="Heading2"/>
    <w:uiPriority w:val="9"/>
    <w:rsid w:val="001B2307"/>
    <w:rPr>
      <w:rFonts w:ascii="Calibri" w:hAnsi="Calibri" w:cs="Calibri"/>
      <w:b/>
      <w:bCs/>
      <w:color w:val="167A8C"/>
      <w:sz w:val="26"/>
      <w:szCs w:val="26"/>
    </w:rPr>
  </w:style>
  <w:style w:type="character" w:customStyle="1" w:styleId="Heading3Char">
    <w:name w:val="Heading 3 Char"/>
    <w:basedOn w:val="DefaultParagraphFont"/>
    <w:link w:val="Heading3"/>
    <w:uiPriority w:val="9"/>
    <w:rsid w:val="001B2307"/>
    <w:rPr>
      <w:rFonts w:ascii="Calibri" w:hAnsi="Calibri" w:cs="Calibri"/>
      <w:i/>
      <w:iCs/>
    </w:rPr>
  </w:style>
  <w:style w:type="character" w:customStyle="1" w:styleId="Heading4Char">
    <w:name w:val="Heading 4 Char"/>
    <w:basedOn w:val="DefaultParagraphFont"/>
    <w:link w:val="Heading4"/>
    <w:uiPriority w:val="9"/>
    <w:rsid w:val="001B2307"/>
    <w:rPr>
      <w:rFonts w:ascii="Calibri" w:hAnsi="Calibri" w:cs="Calibri"/>
      <w:b/>
      <w:bCs/>
      <w:color w:val="167A8C"/>
      <w:sz w:val="24"/>
      <w:szCs w:val="24"/>
    </w:rPr>
  </w:style>
  <w:style w:type="character" w:styleId="Emphasis">
    <w:name w:val="Emphasis"/>
    <w:basedOn w:val="DefaultParagraphFont"/>
    <w:uiPriority w:val="20"/>
    <w:qFormat/>
    <w:rsid w:val="00022BF7"/>
    <w:rPr>
      <w:i/>
      <w:iCs/>
    </w:rPr>
  </w:style>
  <w:style w:type="paragraph" w:styleId="Quote">
    <w:name w:val="Quote"/>
    <w:basedOn w:val="Normal"/>
    <w:next w:val="Normal"/>
    <w:link w:val="QuoteChar"/>
    <w:uiPriority w:val="29"/>
    <w:qFormat/>
    <w:rsid w:val="00C553FB"/>
    <w:pPr>
      <w:spacing w:before="200"/>
      <w:ind w:left="864" w:right="864"/>
    </w:pPr>
    <w:rPr>
      <w:i/>
      <w:iCs/>
      <w:color w:val="262626" w:themeColor="text1" w:themeTint="D9"/>
    </w:rPr>
  </w:style>
  <w:style w:type="character" w:customStyle="1" w:styleId="QuoteChar">
    <w:name w:val="Quote Char"/>
    <w:basedOn w:val="DefaultParagraphFont"/>
    <w:link w:val="Quote"/>
    <w:uiPriority w:val="29"/>
    <w:rsid w:val="00C553FB"/>
    <w:rPr>
      <w:rFonts w:ascii="Verdana" w:hAnsi="Verdana"/>
      <w:i/>
      <w:iCs/>
      <w:color w:val="262626" w:themeColor="text1" w:themeTint="D9"/>
    </w:rPr>
  </w:style>
  <w:style w:type="character" w:styleId="IntenseEmphasis">
    <w:name w:val="Intense Emphasis"/>
    <w:basedOn w:val="DefaultParagraphFont"/>
    <w:uiPriority w:val="21"/>
    <w:qFormat/>
    <w:rsid w:val="0015589D"/>
    <w:rPr>
      <w:i/>
      <w:iCs/>
      <w:u w:val="single" w:color="FFC20C"/>
    </w:rPr>
  </w:style>
  <w:style w:type="character" w:customStyle="1" w:styleId="Heading5Char">
    <w:name w:val="Heading 5 Char"/>
    <w:basedOn w:val="DefaultParagraphFont"/>
    <w:link w:val="Heading5"/>
    <w:uiPriority w:val="9"/>
    <w:rsid w:val="00BC203D"/>
    <w:rPr>
      <w:rFonts w:ascii="Verdana" w:eastAsiaTheme="majorEastAsia" w:hAnsi="Verdana" w:cstheme="majorBidi"/>
      <w:sz w:val="24"/>
    </w:rPr>
  </w:style>
  <w:style w:type="paragraph" w:styleId="ListParagraph">
    <w:name w:val="List Paragraph"/>
    <w:basedOn w:val="Normal"/>
    <w:uiPriority w:val="34"/>
    <w:qFormat/>
    <w:rsid w:val="00C553FB"/>
    <w:pPr>
      <w:ind w:left="720"/>
      <w:contextualSpacing/>
    </w:pPr>
  </w:style>
  <w:style w:type="paragraph" w:styleId="Header">
    <w:name w:val="header"/>
    <w:basedOn w:val="Normal"/>
    <w:link w:val="HeaderChar"/>
    <w:uiPriority w:val="99"/>
    <w:unhideWhenUsed/>
    <w:rsid w:val="00D85251"/>
    <w:pPr>
      <w:tabs>
        <w:tab w:val="center" w:pos="4513"/>
        <w:tab w:val="right" w:pos="9026"/>
      </w:tabs>
    </w:pPr>
  </w:style>
  <w:style w:type="character" w:customStyle="1" w:styleId="HeaderChar">
    <w:name w:val="Header Char"/>
    <w:basedOn w:val="DefaultParagraphFont"/>
    <w:link w:val="Header"/>
    <w:uiPriority w:val="99"/>
    <w:rsid w:val="00D85251"/>
    <w:rPr>
      <w:rFonts w:ascii="Verdana" w:hAnsi="Verdana"/>
    </w:rPr>
  </w:style>
  <w:style w:type="paragraph" w:styleId="Footer">
    <w:name w:val="footer"/>
    <w:basedOn w:val="Normal"/>
    <w:link w:val="FooterChar"/>
    <w:uiPriority w:val="99"/>
    <w:unhideWhenUsed/>
    <w:rsid w:val="00D85251"/>
    <w:pPr>
      <w:tabs>
        <w:tab w:val="center" w:pos="4513"/>
        <w:tab w:val="right" w:pos="9026"/>
      </w:tabs>
    </w:pPr>
  </w:style>
  <w:style w:type="character" w:customStyle="1" w:styleId="FooterChar">
    <w:name w:val="Footer Char"/>
    <w:basedOn w:val="DefaultParagraphFont"/>
    <w:link w:val="Footer"/>
    <w:uiPriority w:val="99"/>
    <w:rsid w:val="00D85251"/>
    <w:rPr>
      <w:rFonts w:ascii="Verdana" w:hAnsi="Verdana"/>
    </w:rPr>
  </w:style>
  <w:style w:type="paragraph" w:styleId="Subtitle">
    <w:name w:val="Subtitle"/>
    <w:basedOn w:val="Normal"/>
    <w:next w:val="Normal"/>
    <w:link w:val="SubtitleChar"/>
    <w:uiPriority w:val="11"/>
    <w:qFormat/>
    <w:rsid w:val="0001357F"/>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1357F"/>
    <w:rPr>
      <w:rFonts w:eastAsiaTheme="minorEastAsia"/>
      <w:color w:val="5A5A5A" w:themeColor="text1" w:themeTint="A5"/>
      <w:spacing w:val="15"/>
    </w:rPr>
  </w:style>
  <w:style w:type="character" w:styleId="Strong">
    <w:name w:val="Strong"/>
    <w:basedOn w:val="DefaultParagraphFont"/>
    <w:uiPriority w:val="22"/>
    <w:qFormat/>
    <w:rsid w:val="0001357F"/>
    <w:rPr>
      <w:b/>
      <w:bCs/>
    </w:rPr>
  </w:style>
  <w:style w:type="character" w:customStyle="1" w:styleId="normaltextrun">
    <w:name w:val="normaltextrun"/>
    <w:basedOn w:val="DefaultParagraphFont"/>
    <w:rsid w:val="00CA4DEE"/>
  </w:style>
  <w:style w:type="character" w:styleId="CommentReference">
    <w:name w:val="annotation reference"/>
    <w:basedOn w:val="DefaultParagraphFont"/>
    <w:uiPriority w:val="99"/>
    <w:semiHidden/>
    <w:unhideWhenUsed/>
    <w:rsid w:val="00CA4DEE"/>
    <w:rPr>
      <w:sz w:val="16"/>
      <w:szCs w:val="16"/>
    </w:rPr>
  </w:style>
  <w:style w:type="paragraph" w:styleId="CommentText">
    <w:name w:val="annotation text"/>
    <w:basedOn w:val="Normal"/>
    <w:link w:val="CommentTextChar"/>
    <w:uiPriority w:val="99"/>
    <w:unhideWhenUsed/>
    <w:rsid w:val="00CA4DEE"/>
    <w:rPr>
      <w:sz w:val="20"/>
      <w:szCs w:val="20"/>
    </w:rPr>
  </w:style>
  <w:style w:type="character" w:customStyle="1" w:styleId="CommentTextChar">
    <w:name w:val="Comment Text Char"/>
    <w:basedOn w:val="DefaultParagraphFont"/>
    <w:link w:val="CommentText"/>
    <w:uiPriority w:val="99"/>
    <w:rsid w:val="00CA4DE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4DEE"/>
    <w:rPr>
      <w:b/>
      <w:bCs/>
    </w:rPr>
  </w:style>
  <w:style w:type="character" w:customStyle="1" w:styleId="CommentSubjectChar">
    <w:name w:val="Comment Subject Char"/>
    <w:basedOn w:val="CommentTextChar"/>
    <w:link w:val="CommentSubject"/>
    <w:uiPriority w:val="99"/>
    <w:semiHidden/>
    <w:rsid w:val="00CA4DEE"/>
    <w:rPr>
      <w:rFonts w:ascii="Calibri" w:hAnsi="Calibri" w:cs="Calibri"/>
      <w:b/>
      <w:bCs/>
      <w:sz w:val="20"/>
      <w:szCs w:val="20"/>
    </w:rPr>
  </w:style>
  <w:style w:type="character" w:customStyle="1" w:styleId="eop">
    <w:name w:val="eop"/>
    <w:basedOn w:val="DefaultParagraphFont"/>
    <w:rsid w:val="003C5093"/>
  </w:style>
  <w:style w:type="character" w:styleId="Hyperlink">
    <w:name w:val="Hyperlink"/>
    <w:basedOn w:val="DefaultParagraphFont"/>
    <w:uiPriority w:val="99"/>
    <w:unhideWhenUsed/>
    <w:rsid w:val="005F2300"/>
    <w:rPr>
      <w:color w:val="0563C1" w:themeColor="hyperlink"/>
      <w:u w:val="single"/>
    </w:rPr>
  </w:style>
  <w:style w:type="character" w:styleId="UnresolvedMention">
    <w:name w:val="Unresolved Mention"/>
    <w:basedOn w:val="DefaultParagraphFont"/>
    <w:uiPriority w:val="99"/>
    <w:semiHidden/>
    <w:unhideWhenUsed/>
    <w:rsid w:val="005F2300"/>
    <w:rPr>
      <w:color w:val="605E5C"/>
      <w:shd w:val="clear" w:color="auto" w:fill="E1DFDD"/>
    </w:rPr>
  </w:style>
  <w:style w:type="paragraph" w:customStyle="1" w:styleId="paragraph">
    <w:name w:val="paragraph"/>
    <w:basedOn w:val="Normal"/>
    <w:rsid w:val="00B96BB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ontentcontrolboundarysink">
    <w:name w:val="contentcontrolboundarysink"/>
    <w:basedOn w:val="DefaultParagraphFont"/>
    <w:rsid w:val="00B96BBB"/>
  </w:style>
  <w:style w:type="character" w:customStyle="1" w:styleId="superscript">
    <w:name w:val="superscript"/>
    <w:basedOn w:val="DefaultParagraphFont"/>
    <w:rsid w:val="00B96BBB"/>
  </w:style>
  <w:style w:type="character" w:styleId="FollowedHyperlink">
    <w:name w:val="FollowedHyperlink"/>
    <w:basedOn w:val="DefaultParagraphFont"/>
    <w:uiPriority w:val="99"/>
    <w:semiHidden/>
    <w:unhideWhenUsed/>
    <w:rsid w:val="00971DAA"/>
    <w:rPr>
      <w:color w:val="954F72" w:themeColor="followedHyperlink"/>
      <w:u w:val="single"/>
    </w:rPr>
  </w:style>
  <w:style w:type="paragraph" w:styleId="EndnoteText">
    <w:name w:val="endnote text"/>
    <w:basedOn w:val="Normal"/>
    <w:link w:val="EndnoteTextChar"/>
    <w:uiPriority w:val="99"/>
    <w:semiHidden/>
    <w:unhideWhenUsed/>
    <w:rsid w:val="00B0069E"/>
    <w:rPr>
      <w:sz w:val="20"/>
      <w:szCs w:val="20"/>
    </w:rPr>
  </w:style>
  <w:style w:type="character" w:customStyle="1" w:styleId="EndnoteTextChar">
    <w:name w:val="Endnote Text Char"/>
    <w:basedOn w:val="DefaultParagraphFont"/>
    <w:link w:val="EndnoteText"/>
    <w:uiPriority w:val="99"/>
    <w:semiHidden/>
    <w:rsid w:val="00B0069E"/>
    <w:rPr>
      <w:rFonts w:ascii="Calibri" w:hAnsi="Calibri" w:cs="Calibri"/>
      <w:sz w:val="20"/>
      <w:szCs w:val="20"/>
    </w:rPr>
  </w:style>
  <w:style w:type="character" w:styleId="EndnoteReference">
    <w:name w:val="endnote reference"/>
    <w:basedOn w:val="DefaultParagraphFont"/>
    <w:uiPriority w:val="99"/>
    <w:semiHidden/>
    <w:unhideWhenUsed/>
    <w:rsid w:val="00B006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4981">
      <w:bodyDiv w:val="1"/>
      <w:marLeft w:val="0"/>
      <w:marRight w:val="0"/>
      <w:marTop w:val="0"/>
      <w:marBottom w:val="0"/>
      <w:divBdr>
        <w:top w:val="none" w:sz="0" w:space="0" w:color="auto"/>
        <w:left w:val="none" w:sz="0" w:space="0" w:color="auto"/>
        <w:bottom w:val="none" w:sz="0" w:space="0" w:color="auto"/>
        <w:right w:val="none" w:sz="0" w:space="0" w:color="auto"/>
      </w:divBdr>
      <w:divsChild>
        <w:div w:id="1150903444">
          <w:marLeft w:val="0"/>
          <w:marRight w:val="0"/>
          <w:marTop w:val="0"/>
          <w:marBottom w:val="0"/>
          <w:divBdr>
            <w:top w:val="none" w:sz="0" w:space="0" w:color="auto"/>
            <w:left w:val="none" w:sz="0" w:space="0" w:color="auto"/>
            <w:bottom w:val="none" w:sz="0" w:space="0" w:color="auto"/>
            <w:right w:val="none" w:sz="0" w:space="0" w:color="auto"/>
          </w:divBdr>
        </w:div>
        <w:div w:id="362754729">
          <w:marLeft w:val="0"/>
          <w:marRight w:val="0"/>
          <w:marTop w:val="0"/>
          <w:marBottom w:val="0"/>
          <w:divBdr>
            <w:top w:val="none" w:sz="0" w:space="0" w:color="auto"/>
            <w:left w:val="none" w:sz="0" w:space="0" w:color="auto"/>
            <w:bottom w:val="none" w:sz="0" w:space="0" w:color="auto"/>
            <w:right w:val="none" w:sz="0" w:space="0" w:color="auto"/>
          </w:divBdr>
        </w:div>
      </w:divsChild>
    </w:div>
    <w:div w:id="524096208">
      <w:bodyDiv w:val="1"/>
      <w:marLeft w:val="0"/>
      <w:marRight w:val="0"/>
      <w:marTop w:val="0"/>
      <w:marBottom w:val="0"/>
      <w:divBdr>
        <w:top w:val="none" w:sz="0" w:space="0" w:color="auto"/>
        <w:left w:val="none" w:sz="0" w:space="0" w:color="auto"/>
        <w:bottom w:val="none" w:sz="0" w:space="0" w:color="auto"/>
        <w:right w:val="none" w:sz="0" w:space="0" w:color="auto"/>
      </w:divBdr>
    </w:div>
    <w:div w:id="596258972">
      <w:bodyDiv w:val="1"/>
      <w:marLeft w:val="0"/>
      <w:marRight w:val="0"/>
      <w:marTop w:val="0"/>
      <w:marBottom w:val="0"/>
      <w:divBdr>
        <w:top w:val="none" w:sz="0" w:space="0" w:color="auto"/>
        <w:left w:val="none" w:sz="0" w:space="0" w:color="auto"/>
        <w:bottom w:val="none" w:sz="0" w:space="0" w:color="auto"/>
        <w:right w:val="none" w:sz="0" w:space="0" w:color="auto"/>
      </w:divBdr>
      <w:divsChild>
        <w:div w:id="438646142">
          <w:marLeft w:val="0"/>
          <w:marRight w:val="0"/>
          <w:marTop w:val="0"/>
          <w:marBottom w:val="0"/>
          <w:divBdr>
            <w:top w:val="none" w:sz="0" w:space="0" w:color="auto"/>
            <w:left w:val="none" w:sz="0" w:space="0" w:color="auto"/>
            <w:bottom w:val="none" w:sz="0" w:space="0" w:color="auto"/>
            <w:right w:val="none" w:sz="0" w:space="0" w:color="auto"/>
          </w:divBdr>
        </w:div>
        <w:div w:id="336276400">
          <w:marLeft w:val="0"/>
          <w:marRight w:val="0"/>
          <w:marTop w:val="0"/>
          <w:marBottom w:val="0"/>
          <w:divBdr>
            <w:top w:val="none" w:sz="0" w:space="0" w:color="auto"/>
            <w:left w:val="none" w:sz="0" w:space="0" w:color="auto"/>
            <w:bottom w:val="none" w:sz="0" w:space="0" w:color="auto"/>
            <w:right w:val="none" w:sz="0" w:space="0" w:color="auto"/>
          </w:divBdr>
          <w:divsChild>
            <w:div w:id="1757704537">
              <w:marLeft w:val="0"/>
              <w:marRight w:val="0"/>
              <w:marTop w:val="0"/>
              <w:marBottom w:val="0"/>
              <w:divBdr>
                <w:top w:val="none" w:sz="0" w:space="0" w:color="auto"/>
                <w:left w:val="none" w:sz="0" w:space="0" w:color="auto"/>
                <w:bottom w:val="none" w:sz="0" w:space="0" w:color="auto"/>
                <w:right w:val="none" w:sz="0" w:space="0" w:color="auto"/>
              </w:divBdr>
            </w:div>
            <w:div w:id="1742484108">
              <w:marLeft w:val="0"/>
              <w:marRight w:val="0"/>
              <w:marTop w:val="0"/>
              <w:marBottom w:val="0"/>
              <w:divBdr>
                <w:top w:val="none" w:sz="0" w:space="0" w:color="auto"/>
                <w:left w:val="none" w:sz="0" w:space="0" w:color="auto"/>
                <w:bottom w:val="none" w:sz="0" w:space="0" w:color="auto"/>
                <w:right w:val="none" w:sz="0" w:space="0" w:color="auto"/>
              </w:divBdr>
            </w:div>
            <w:div w:id="269246662">
              <w:marLeft w:val="0"/>
              <w:marRight w:val="0"/>
              <w:marTop w:val="0"/>
              <w:marBottom w:val="0"/>
              <w:divBdr>
                <w:top w:val="none" w:sz="0" w:space="0" w:color="auto"/>
                <w:left w:val="none" w:sz="0" w:space="0" w:color="auto"/>
                <w:bottom w:val="none" w:sz="0" w:space="0" w:color="auto"/>
                <w:right w:val="none" w:sz="0" w:space="0" w:color="auto"/>
              </w:divBdr>
            </w:div>
            <w:div w:id="1792554726">
              <w:marLeft w:val="0"/>
              <w:marRight w:val="0"/>
              <w:marTop w:val="0"/>
              <w:marBottom w:val="0"/>
              <w:divBdr>
                <w:top w:val="none" w:sz="0" w:space="0" w:color="auto"/>
                <w:left w:val="none" w:sz="0" w:space="0" w:color="auto"/>
                <w:bottom w:val="none" w:sz="0" w:space="0" w:color="auto"/>
                <w:right w:val="none" w:sz="0" w:space="0" w:color="auto"/>
              </w:divBdr>
            </w:div>
            <w:div w:id="8422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54553">
      <w:bodyDiv w:val="1"/>
      <w:marLeft w:val="0"/>
      <w:marRight w:val="0"/>
      <w:marTop w:val="0"/>
      <w:marBottom w:val="0"/>
      <w:divBdr>
        <w:top w:val="none" w:sz="0" w:space="0" w:color="auto"/>
        <w:left w:val="none" w:sz="0" w:space="0" w:color="auto"/>
        <w:bottom w:val="none" w:sz="0" w:space="0" w:color="auto"/>
        <w:right w:val="none" w:sz="0" w:space="0" w:color="auto"/>
      </w:divBdr>
      <w:divsChild>
        <w:div w:id="1019627895">
          <w:marLeft w:val="0"/>
          <w:marRight w:val="0"/>
          <w:marTop w:val="0"/>
          <w:marBottom w:val="0"/>
          <w:divBdr>
            <w:top w:val="none" w:sz="0" w:space="0" w:color="auto"/>
            <w:left w:val="none" w:sz="0" w:space="0" w:color="auto"/>
            <w:bottom w:val="none" w:sz="0" w:space="0" w:color="auto"/>
            <w:right w:val="none" w:sz="0" w:space="0" w:color="auto"/>
          </w:divBdr>
        </w:div>
        <w:div w:id="1833064432">
          <w:marLeft w:val="0"/>
          <w:marRight w:val="0"/>
          <w:marTop w:val="0"/>
          <w:marBottom w:val="0"/>
          <w:divBdr>
            <w:top w:val="none" w:sz="0" w:space="0" w:color="auto"/>
            <w:left w:val="none" w:sz="0" w:space="0" w:color="auto"/>
            <w:bottom w:val="none" w:sz="0" w:space="0" w:color="auto"/>
            <w:right w:val="none" w:sz="0" w:space="0" w:color="auto"/>
          </w:divBdr>
        </w:div>
      </w:divsChild>
    </w:div>
    <w:div w:id="1090740075">
      <w:bodyDiv w:val="1"/>
      <w:marLeft w:val="0"/>
      <w:marRight w:val="0"/>
      <w:marTop w:val="0"/>
      <w:marBottom w:val="0"/>
      <w:divBdr>
        <w:top w:val="none" w:sz="0" w:space="0" w:color="auto"/>
        <w:left w:val="none" w:sz="0" w:space="0" w:color="auto"/>
        <w:bottom w:val="none" w:sz="0" w:space="0" w:color="auto"/>
        <w:right w:val="none" w:sz="0" w:space="0" w:color="auto"/>
      </w:divBdr>
      <w:divsChild>
        <w:div w:id="870990926">
          <w:marLeft w:val="0"/>
          <w:marRight w:val="0"/>
          <w:marTop w:val="0"/>
          <w:marBottom w:val="0"/>
          <w:divBdr>
            <w:top w:val="none" w:sz="0" w:space="0" w:color="auto"/>
            <w:left w:val="none" w:sz="0" w:space="0" w:color="auto"/>
            <w:bottom w:val="none" w:sz="0" w:space="0" w:color="auto"/>
            <w:right w:val="none" w:sz="0" w:space="0" w:color="auto"/>
          </w:divBdr>
        </w:div>
        <w:div w:id="460922881">
          <w:marLeft w:val="0"/>
          <w:marRight w:val="0"/>
          <w:marTop w:val="0"/>
          <w:marBottom w:val="0"/>
          <w:divBdr>
            <w:top w:val="none" w:sz="0" w:space="0" w:color="auto"/>
            <w:left w:val="none" w:sz="0" w:space="0" w:color="auto"/>
            <w:bottom w:val="none" w:sz="0" w:space="0" w:color="auto"/>
            <w:right w:val="none" w:sz="0" w:space="0" w:color="auto"/>
          </w:divBdr>
        </w:div>
        <w:div w:id="739520141">
          <w:marLeft w:val="0"/>
          <w:marRight w:val="0"/>
          <w:marTop w:val="0"/>
          <w:marBottom w:val="0"/>
          <w:divBdr>
            <w:top w:val="none" w:sz="0" w:space="0" w:color="auto"/>
            <w:left w:val="none" w:sz="0" w:space="0" w:color="auto"/>
            <w:bottom w:val="none" w:sz="0" w:space="0" w:color="auto"/>
            <w:right w:val="none" w:sz="0" w:space="0" w:color="auto"/>
          </w:divBdr>
        </w:div>
        <w:div w:id="1290478281">
          <w:marLeft w:val="0"/>
          <w:marRight w:val="0"/>
          <w:marTop w:val="0"/>
          <w:marBottom w:val="0"/>
          <w:divBdr>
            <w:top w:val="none" w:sz="0" w:space="0" w:color="auto"/>
            <w:left w:val="none" w:sz="0" w:space="0" w:color="auto"/>
            <w:bottom w:val="none" w:sz="0" w:space="0" w:color="auto"/>
            <w:right w:val="none" w:sz="0" w:space="0" w:color="auto"/>
          </w:divBdr>
        </w:div>
        <w:div w:id="857155773">
          <w:marLeft w:val="0"/>
          <w:marRight w:val="0"/>
          <w:marTop w:val="0"/>
          <w:marBottom w:val="0"/>
          <w:divBdr>
            <w:top w:val="none" w:sz="0" w:space="0" w:color="auto"/>
            <w:left w:val="none" w:sz="0" w:space="0" w:color="auto"/>
            <w:bottom w:val="none" w:sz="0" w:space="0" w:color="auto"/>
            <w:right w:val="none" w:sz="0" w:space="0" w:color="auto"/>
          </w:divBdr>
        </w:div>
        <w:div w:id="1319730640">
          <w:marLeft w:val="0"/>
          <w:marRight w:val="0"/>
          <w:marTop w:val="0"/>
          <w:marBottom w:val="0"/>
          <w:divBdr>
            <w:top w:val="none" w:sz="0" w:space="0" w:color="auto"/>
            <w:left w:val="none" w:sz="0" w:space="0" w:color="auto"/>
            <w:bottom w:val="none" w:sz="0" w:space="0" w:color="auto"/>
            <w:right w:val="none" w:sz="0" w:space="0" w:color="auto"/>
          </w:divBdr>
        </w:div>
      </w:divsChild>
    </w:div>
    <w:div w:id="1094547719">
      <w:bodyDiv w:val="1"/>
      <w:marLeft w:val="0"/>
      <w:marRight w:val="0"/>
      <w:marTop w:val="0"/>
      <w:marBottom w:val="0"/>
      <w:divBdr>
        <w:top w:val="none" w:sz="0" w:space="0" w:color="auto"/>
        <w:left w:val="none" w:sz="0" w:space="0" w:color="auto"/>
        <w:bottom w:val="none" w:sz="0" w:space="0" w:color="auto"/>
        <w:right w:val="none" w:sz="0" w:space="0" w:color="auto"/>
      </w:divBdr>
    </w:div>
    <w:div w:id="1238398781">
      <w:bodyDiv w:val="1"/>
      <w:marLeft w:val="0"/>
      <w:marRight w:val="0"/>
      <w:marTop w:val="0"/>
      <w:marBottom w:val="0"/>
      <w:divBdr>
        <w:top w:val="none" w:sz="0" w:space="0" w:color="auto"/>
        <w:left w:val="none" w:sz="0" w:space="0" w:color="auto"/>
        <w:bottom w:val="none" w:sz="0" w:space="0" w:color="auto"/>
        <w:right w:val="none" w:sz="0" w:space="0" w:color="auto"/>
      </w:divBdr>
      <w:divsChild>
        <w:div w:id="2083330507">
          <w:marLeft w:val="0"/>
          <w:marRight w:val="0"/>
          <w:marTop w:val="0"/>
          <w:marBottom w:val="0"/>
          <w:divBdr>
            <w:top w:val="none" w:sz="0" w:space="0" w:color="auto"/>
            <w:left w:val="none" w:sz="0" w:space="0" w:color="auto"/>
            <w:bottom w:val="none" w:sz="0" w:space="0" w:color="auto"/>
            <w:right w:val="none" w:sz="0" w:space="0" w:color="auto"/>
          </w:divBdr>
        </w:div>
        <w:div w:id="282152798">
          <w:marLeft w:val="0"/>
          <w:marRight w:val="0"/>
          <w:marTop w:val="0"/>
          <w:marBottom w:val="0"/>
          <w:divBdr>
            <w:top w:val="none" w:sz="0" w:space="0" w:color="auto"/>
            <w:left w:val="none" w:sz="0" w:space="0" w:color="auto"/>
            <w:bottom w:val="none" w:sz="0" w:space="0" w:color="auto"/>
            <w:right w:val="none" w:sz="0" w:space="0" w:color="auto"/>
          </w:divBdr>
        </w:div>
        <w:div w:id="849296490">
          <w:marLeft w:val="0"/>
          <w:marRight w:val="0"/>
          <w:marTop w:val="0"/>
          <w:marBottom w:val="0"/>
          <w:divBdr>
            <w:top w:val="none" w:sz="0" w:space="0" w:color="auto"/>
            <w:left w:val="none" w:sz="0" w:space="0" w:color="auto"/>
            <w:bottom w:val="none" w:sz="0" w:space="0" w:color="auto"/>
            <w:right w:val="none" w:sz="0" w:space="0" w:color="auto"/>
          </w:divBdr>
        </w:div>
        <w:div w:id="1965502140">
          <w:marLeft w:val="0"/>
          <w:marRight w:val="0"/>
          <w:marTop w:val="0"/>
          <w:marBottom w:val="0"/>
          <w:divBdr>
            <w:top w:val="none" w:sz="0" w:space="0" w:color="auto"/>
            <w:left w:val="none" w:sz="0" w:space="0" w:color="auto"/>
            <w:bottom w:val="none" w:sz="0" w:space="0" w:color="auto"/>
            <w:right w:val="none" w:sz="0" w:space="0" w:color="auto"/>
          </w:divBdr>
        </w:div>
        <w:div w:id="638266116">
          <w:marLeft w:val="0"/>
          <w:marRight w:val="0"/>
          <w:marTop w:val="0"/>
          <w:marBottom w:val="0"/>
          <w:divBdr>
            <w:top w:val="none" w:sz="0" w:space="0" w:color="auto"/>
            <w:left w:val="none" w:sz="0" w:space="0" w:color="auto"/>
            <w:bottom w:val="none" w:sz="0" w:space="0" w:color="auto"/>
            <w:right w:val="none" w:sz="0" w:space="0" w:color="auto"/>
          </w:divBdr>
        </w:div>
        <w:div w:id="1529754843">
          <w:marLeft w:val="0"/>
          <w:marRight w:val="0"/>
          <w:marTop w:val="0"/>
          <w:marBottom w:val="0"/>
          <w:divBdr>
            <w:top w:val="none" w:sz="0" w:space="0" w:color="auto"/>
            <w:left w:val="none" w:sz="0" w:space="0" w:color="auto"/>
            <w:bottom w:val="none" w:sz="0" w:space="0" w:color="auto"/>
            <w:right w:val="none" w:sz="0" w:space="0" w:color="auto"/>
          </w:divBdr>
        </w:div>
      </w:divsChild>
    </w:div>
    <w:div w:id="1329359930">
      <w:bodyDiv w:val="1"/>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1719421">
          <w:marLeft w:val="0"/>
          <w:marRight w:val="0"/>
          <w:marTop w:val="0"/>
          <w:marBottom w:val="0"/>
          <w:divBdr>
            <w:top w:val="none" w:sz="0" w:space="0" w:color="auto"/>
            <w:left w:val="none" w:sz="0" w:space="0" w:color="auto"/>
            <w:bottom w:val="none" w:sz="0" w:space="0" w:color="auto"/>
            <w:right w:val="none" w:sz="0" w:space="0" w:color="auto"/>
          </w:divBdr>
        </w:div>
      </w:divsChild>
    </w:div>
    <w:div w:id="1332216355">
      <w:bodyDiv w:val="1"/>
      <w:marLeft w:val="0"/>
      <w:marRight w:val="0"/>
      <w:marTop w:val="0"/>
      <w:marBottom w:val="0"/>
      <w:divBdr>
        <w:top w:val="none" w:sz="0" w:space="0" w:color="auto"/>
        <w:left w:val="none" w:sz="0" w:space="0" w:color="auto"/>
        <w:bottom w:val="none" w:sz="0" w:space="0" w:color="auto"/>
        <w:right w:val="none" w:sz="0" w:space="0" w:color="auto"/>
      </w:divBdr>
    </w:div>
    <w:div w:id="1514874245">
      <w:bodyDiv w:val="1"/>
      <w:marLeft w:val="0"/>
      <w:marRight w:val="0"/>
      <w:marTop w:val="0"/>
      <w:marBottom w:val="0"/>
      <w:divBdr>
        <w:top w:val="none" w:sz="0" w:space="0" w:color="auto"/>
        <w:left w:val="none" w:sz="0" w:space="0" w:color="auto"/>
        <w:bottom w:val="none" w:sz="0" w:space="0" w:color="auto"/>
        <w:right w:val="none" w:sz="0" w:space="0" w:color="auto"/>
      </w:divBdr>
    </w:div>
    <w:div w:id="1538349393">
      <w:bodyDiv w:val="1"/>
      <w:marLeft w:val="0"/>
      <w:marRight w:val="0"/>
      <w:marTop w:val="0"/>
      <w:marBottom w:val="0"/>
      <w:divBdr>
        <w:top w:val="none" w:sz="0" w:space="0" w:color="auto"/>
        <w:left w:val="none" w:sz="0" w:space="0" w:color="auto"/>
        <w:bottom w:val="none" w:sz="0" w:space="0" w:color="auto"/>
        <w:right w:val="none" w:sz="0" w:space="0" w:color="auto"/>
      </w:divBdr>
    </w:div>
    <w:div w:id="1602833852">
      <w:bodyDiv w:val="1"/>
      <w:marLeft w:val="0"/>
      <w:marRight w:val="0"/>
      <w:marTop w:val="0"/>
      <w:marBottom w:val="0"/>
      <w:divBdr>
        <w:top w:val="none" w:sz="0" w:space="0" w:color="auto"/>
        <w:left w:val="none" w:sz="0" w:space="0" w:color="auto"/>
        <w:bottom w:val="none" w:sz="0" w:space="0" w:color="auto"/>
        <w:right w:val="none" w:sz="0" w:space="0" w:color="auto"/>
      </w:divBdr>
    </w:div>
    <w:div w:id="1656952155">
      <w:bodyDiv w:val="1"/>
      <w:marLeft w:val="0"/>
      <w:marRight w:val="0"/>
      <w:marTop w:val="0"/>
      <w:marBottom w:val="0"/>
      <w:divBdr>
        <w:top w:val="none" w:sz="0" w:space="0" w:color="auto"/>
        <w:left w:val="none" w:sz="0" w:space="0" w:color="auto"/>
        <w:bottom w:val="none" w:sz="0" w:space="0" w:color="auto"/>
        <w:right w:val="none" w:sz="0" w:space="0" w:color="auto"/>
      </w:divBdr>
    </w:div>
    <w:div w:id="1701006343">
      <w:bodyDiv w:val="1"/>
      <w:marLeft w:val="0"/>
      <w:marRight w:val="0"/>
      <w:marTop w:val="0"/>
      <w:marBottom w:val="0"/>
      <w:divBdr>
        <w:top w:val="none" w:sz="0" w:space="0" w:color="auto"/>
        <w:left w:val="none" w:sz="0" w:space="0" w:color="auto"/>
        <w:bottom w:val="none" w:sz="0" w:space="0" w:color="auto"/>
        <w:right w:val="none" w:sz="0" w:space="0" w:color="auto"/>
      </w:divBdr>
    </w:div>
    <w:div w:id="1818112693">
      <w:bodyDiv w:val="1"/>
      <w:marLeft w:val="0"/>
      <w:marRight w:val="0"/>
      <w:marTop w:val="0"/>
      <w:marBottom w:val="0"/>
      <w:divBdr>
        <w:top w:val="none" w:sz="0" w:space="0" w:color="auto"/>
        <w:left w:val="none" w:sz="0" w:space="0" w:color="auto"/>
        <w:bottom w:val="none" w:sz="0" w:space="0" w:color="auto"/>
        <w:right w:val="none" w:sz="0" w:space="0" w:color="auto"/>
      </w:divBdr>
      <w:divsChild>
        <w:div w:id="856624087">
          <w:marLeft w:val="0"/>
          <w:marRight w:val="0"/>
          <w:marTop w:val="0"/>
          <w:marBottom w:val="0"/>
          <w:divBdr>
            <w:top w:val="none" w:sz="0" w:space="0" w:color="auto"/>
            <w:left w:val="none" w:sz="0" w:space="0" w:color="auto"/>
            <w:bottom w:val="none" w:sz="0" w:space="0" w:color="auto"/>
            <w:right w:val="none" w:sz="0" w:space="0" w:color="auto"/>
          </w:divBdr>
        </w:div>
        <w:div w:id="1231620598">
          <w:marLeft w:val="0"/>
          <w:marRight w:val="0"/>
          <w:marTop w:val="0"/>
          <w:marBottom w:val="0"/>
          <w:divBdr>
            <w:top w:val="none" w:sz="0" w:space="0" w:color="auto"/>
            <w:left w:val="none" w:sz="0" w:space="0" w:color="auto"/>
            <w:bottom w:val="none" w:sz="0" w:space="0" w:color="auto"/>
            <w:right w:val="none" w:sz="0" w:space="0" w:color="auto"/>
          </w:divBdr>
        </w:div>
        <w:div w:id="986860158">
          <w:marLeft w:val="0"/>
          <w:marRight w:val="0"/>
          <w:marTop w:val="0"/>
          <w:marBottom w:val="0"/>
          <w:divBdr>
            <w:top w:val="none" w:sz="0" w:space="0" w:color="auto"/>
            <w:left w:val="none" w:sz="0" w:space="0" w:color="auto"/>
            <w:bottom w:val="none" w:sz="0" w:space="0" w:color="auto"/>
            <w:right w:val="none" w:sz="0" w:space="0" w:color="auto"/>
          </w:divBdr>
        </w:div>
      </w:divsChild>
    </w:div>
    <w:div w:id="2092197840">
      <w:bodyDiv w:val="1"/>
      <w:marLeft w:val="0"/>
      <w:marRight w:val="0"/>
      <w:marTop w:val="0"/>
      <w:marBottom w:val="0"/>
      <w:divBdr>
        <w:top w:val="none" w:sz="0" w:space="0" w:color="auto"/>
        <w:left w:val="none" w:sz="0" w:space="0" w:color="auto"/>
        <w:bottom w:val="none" w:sz="0" w:space="0" w:color="auto"/>
        <w:right w:val="none" w:sz="0" w:space="0" w:color="auto"/>
      </w:divBdr>
      <w:divsChild>
        <w:div w:id="1546603388">
          <w:marLeft w:val="0"/>
          <w:marRight w:val="0"/>
          <w:marTop w:val="0"/>
          <w:marBottom w:val="0"/>
          <w:divBdr>
            <w:top w:val="none" w:sz="0" w:space="0" w:color="auto"/>
            <w:left w:val="none" w:sz="0" w:space="0" w:color="auto"/>
            <w:bottom w:val="none" w:sz="0" w:space="0" w:color="auto"/>
            <w:right w:val="none" w:sz="0" w:space="0" w:color="auto"/>
          </w:divBdr>
        </w:div>
        <w:div w:id="1131283343">
          <w:marLeft w:val="0"/>
          <w:marRight w:val="0"/>
          <w:marTop w:val="0"/>
          <w:marBottom w:val="0"/>
          <w:divBdr>
            <w:top w:val="none" w:sz="0" w:space="0" w:color="auto"/>
            <w:left w:val="none" w:sz="0" w:space="0" w:color="auto"/>
            <w:bottom w:val="none" w:sz="0" w:space="0" w:color="auto"/>
            <w:right w:val="none" w:sz="0" w:space="0" w:color="auto"/>
          </w:divBdr>
          <w:divsChild>
            <w:div w:id="1562716437">
              <w:marLeft w:val="0"/>
              <w:marRight w:val="0"/>
              <w:marTop w:val="0"/>
              <w:marBottom w:val="0"/>
              <w:divBdr>
                <w:top w:val="none" w:sz="0" w:space="0" w:color="auto"/>
                <w:left w:val="none" w:sz="0" w:space="0" w:color="auto"/>
                <w:bottom w:val="none" w:sz="0" w:space="0" w:color="auto"/>
                <w:right w:val="none" w:sz="0" w:space="0" w:color="auto"/>
              </w:divBdr>
            </w:div>
            <w:div w:id="1997763582">
              <w:marLeft w:val="0"/>
              <w:marRight w:val="0"/>
              <w:marTop w:val="0"/>
              <w:marBottom w:val="0"/>
              <w:divBdr>
                <w:top w:val="none" w:sz="0" w:space="0" w:color="auto"/>
                <w:left w:val="none" w:sz="0" w:space="0" w:color="auto"/>
                <w:bottom w:val="none" w:sz="0" w:space="0" w:color="auto"/>
                <w:right w:val="none" w:sz="0" w:space="0" w:color="auto"/>
              </w:divBdr>
            </w:div>
            <w:div w:id="2051151707">
              <w:marLeft w:val="0"/>
              <w:marRight w:val="0"/>
              <w:marTop w:val="0"/>
              <w:marBottom w:val="0"/>
              <w:divBdr>
                <w:top w:val="none" w:sz="0" w:space="0" w:color="auto"/>
                <w:left w:val="none" w:sz="0" w:space="0" w:color="auto"/>
                <w:bottom w:val="none" w:sz="0" w:space="0" w:color="auto"/>
                <w:right w:val="none" w:sz="0" w:space="0" w:color="auto"/>
              </w:divBdr>
            </w:div>
            <w:div w:id="582186154">
              <w:marLeft w:val="0"/>
              <w:marRight w:val="0"/>
              <w:marTop w:val="0"/>
              <w:marBottom w:val="0"/>
              <w:divBdr>
                <w:top w:val="none" w:sz="0" w:space="0" w:color="auto"/>
                <w:left w:val="none" w:sz="0" w:space="0" w:color="auto"/>
                <w:bottom w:val="none" w:sz="0" w:space="0" w:color="auto"/>
                <w:right w:val="none" w:sz="0" w:space="0" w:color="auto"/>
              </w:divBdr>
            </w:div>
            <w:div w:id="7009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623">
      <w:bodyDiv w:val="1"/>
      <w:marLeft w:val="0"/>
      <w:marRight w:val="0"/>
      <w:marTop w:val="0"/>
      <w:marBottom w:val="0"/>
      <w:divBdr>
        <w:top w:val="none" w:sz="0" w:space="0" w:color="auto"/>
        <w:left w:val="none" w:sz="0" w:space="0" w:color="auto"/>
        <w:bottom w:val="none" w:sz="0" w:space="0" w:color="auto"/>
        <w:right w:val="none" w:sz="0" w:space="0" w:color="auto"/>
      </w:divBdr>
      <w:divsChild>
        <w:div w:id="1794134354">
          <w:marLeft w:val="0"/>
          <w:marRight w:val="0"/>
          <w:marTop w:val="0"/>
          <w:marBottom w:val="0"/>
          <w:divBdr>
            <w:top w:val="none" w:sz="0" w:space="0" w:color="auto"/>
            <w:left w:val="none" w:sz="0" w:space="0" w:color="auto"/>
            <w:bottom w:val="none" w:sz="0" w:space="0" w:color="auto"/>
            <w:right w:val="none" w:sz="0" w:space="0" w:color="auto"/>
          </w:divBdr>
        </w:div>
        <w:div w:id="1187795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clarke@addc.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youtu.be/xPV7xUDlUS0?si=Vnp8Ux0FDYazTWbj" TargetMode="External"/><Relationship Id="rId2" Type="http://schemas.openxmlformats.org/officeDocument/2006/relationships/hyperlink" Target="https://www.ohchr.org/en/documents/thematic-reports/a71314-report-disability-inclusive-policies" TargetMode="External"/><Relationship Id="rId1" Type="http://schemas.openxmlformats.org/officeDocument/2006/relationships/hyperlink" Target="https://pacificdisability.org/wp-content/uploads/2024/01/Pacific-Disability-Forum_IDEARS-Submission_FINAL_Jan-10_2024.pdf" TargetMode="External"/><Relationship Id="rId5" Type="http://schemas.openxmlformats.org/officeDocument/2006/relationships/hyperlink" Target="https://whatweneed.tci-global.org/tci-positionality-on-community-inclusion-2022/" TargetMode="External"/><Relationship Id="rId4" Type="http://schemas.openxmlformats.org/officeDocument/2006/relationships/hyperlink" Target="https://www.dfat.gov.au/sites/default/files/tonga-appr-2018-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F9EDCF455674B9AD0C81222845BFE" ma:contentTypeVersion="17" ma:contentTypeDescription="Create a new document." ma:contentTypeScope="" ma:versionID="826acb5ab74dc86ab1a502c5510cf788">
  <xsd:schema xmlns:xsd="http://www.w3.org/2001/XMLSchema" xmlns:xs="http://www.w3.org/2001/XMLSchema" xmlns:p="http://schemas.microsoft.com/office/2006/metadata/properties" xmlns:ns2="8c6f54bb-75b7-4b68-ab69-c2f5d9bf49dd" xmlns:ns3="ec2b85e9-0bce-4d4f-a03e-e371b084a1a6" xmlns:ns4="4171f854-f482-4227-add5-188c3bba07ce" targetNamespace="http://schemas.microsoft.com/office/2006/metadata/properties" ma:root="true" ma:fieldsID="90d7e5257af7ea30a8360e93fd748a70" ns2:_="" ns3:_="" ns4:_="">
    <xsd:import namespace="8c6f54bb-75b7-4b68-ab69-c2f5d9bf49dd"/>
    <xsd:import namespace="ec2b85e9-0bce-4d4f-a03e-e371b084a1a6"/>
    <xsd:import namespace="4171f854-f482-4227-add5-188c3bba07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f54bb-75b7-4b68-ab69-c2f5d9bf4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b85e9-0bce-4d4f-a03e-e371b084a1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6f54bb-75b7-4b68-ab69-c2f5d9bf49dd">
      <Terms xmlns="http://schemas.microsoft.com/office/infopath/2007/PartnerControls"/>
    </lcf76f155ced4ddcb4097134ff3c332f>
    <TaxCatchAll xmlns="4171f854-f482-4227-add5-188c3bba07ce" xsi:nil="true"/>
  </documentManagement>
</p:properties>
</file>

<file path=customXml/itemProps1.xml><?xml version="1.0" encoding="utf-8"?>
<ds:datastoreItem xmlns:ds="http://schemas.openxmlformats.org/officeDocument/2006/customXml" ds:itemID="{871E3303-49C9-499E-96ED-71BDDEE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f54bb-75b7-4b68-ab69-c2f5d9bf49dd"/>
    <ds:schemaRef ds:uri="ec2b85e9-0bce-4d4f-a03e-e371b084a1a6"/>
    <ds:schemaRef ds:uri="4171f854-f482-4227-add5-188c3bba0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7240D-EB19-4C35-A846-D1176B581C24}">
  <ds:schemaRefs>
    <ds:schemaRef ds:uri="http://schemas.microsoft.com/sharepoint/v3/contenttype/forms"/>
  </ds:schemaRefs>
</ds:datastoreItem>
</file>

<file path=customXml/itemProps3.xml><?xml version="1.0" encoding="utf-8"?>
<ds:datastoreItem xmlns:ds="http://schemas.openxmlformats.org/officeDocument/2006/customXml" ds:itemID="{0BFD1146-8CE8-401B-8BDC-32CF2F092743}">
  <ds:schemaRefs>
    <ds:schemaRef ds:uri="http://schemas.openxmlformats.org/officeDocument/2006/bibliography"/>
  </ds:schemaRefs>
</ds:datastoreItem>
</file>

<file path=customXml/itemProps4.xml><?xml version="1.0" encoding="utf-8"?>
<ds:datastoreItem xmlns:ds="http://schemas.openxmlformats.org/officeDocument/2006/customXml" ds:itemID="{BCD22B91-DF31-496A-AC1C-B51BAF67ED5D}">
  <ds:schemaRefs>
    <ds:schemaRef ds:uri="http://schemas.microsoft.com/office/2006/metadata/properties"/>
    <ds:schemaRef ds:uri="http://schemas.microsoft.com/office/infopath/2007/PartnerControls"/>
    <ds:schemaRef ds:uri="8c6f54bb-75b7-4b68-ab69-c2f5d9bf49dd"/>
    <ds:schemaRef ds:uri="4171f854-f482-4227-add5-188c3bba07ce"/>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6</Pages>
  <Words>2449</Words>
  <Characters>15015</Characters>
  <Application>Microsoft Office Word</Application>
  <DocSecurity>0</DocSecurity>
  <Lines>205</Lines>
  <Paragraphs>61</Paragraphs>
  <ScaleCrop>false</ScaleCrop>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Kerryn Clarke</dc:creator>
  <cp:keywords/>
  <dc:description/>
  <cp:lastModifiedBy>Amanda Willimott</cp:lastModifiedBy>
  <cp:revision>213</cp:revision>
  <dcterms:created xsi:type="dcterms:W3CDTF">2023-12-12T03:28:00Z</dcterms:created>
  <dcterms:modified xsi:type="dcterms:W3CDTF">2024-03-14T21:09:00Z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0x010100FD1F9EDCF455674B9AD0C81222845BFE</vt:lpwstr>
  </property>
  <property fmtid="{D5CDD505-2E9C-101B-9397-08002B2CF9AE}" pid="3" name="MediaServiceImageTags">
    <vt:lpwstr/>
  </property>
</Properties>
</file>